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83D" w:rsidRDefault="00A43D46" w:rsidP="00A43D46">
      <w:pPr>
        <w:jc w:val="center"/>
        <w:rPr>
          <w:rFonts w:ascii="Times New Roman" w:hAnsi="Times New Roman" w:cs="Times New Roman"/>
          <w:b/>
          <w:sz w:val="20"/>
          <w:szCs w:val="20"/>
        </w:rPr>
      </w:pPr>
      <w:bookmarkStart w:id="0" w:name="_Hlk536440179"/>
      <w:r w:rsidRPr="00A43D46">
        <w:rPr>
          <w:rFonts w:ascii="Times New Roman" w:hAnsi="Times New Roman" w:cs="Times New Roman"/>
          <w:b/>
          <w:sz w:val="20"/>
          <w:szCs w:val="20"/>
        </w:rPr>
        <w:t xml:space="preserve">FORMULARZ </w:t>
      </w:r>
    </w:p>
    <w:p w:rsidR="00A43D46" w:rsidRPr="00A43D46" w:rsidRDefault="00A43D46" w:rsidP="00A43D46">
      <w:pPr>
        <w:jc w:val="center"/>
        <w:rPr>
          <w:rFonts w:ascii="Times New Roman" w:hAnsi="Times New Roman" w:cs="Times New Roman"/>
          <w:b/>
          <w:sz w:val="20"/>
          <w:szCs w:val="20"/>
        </w:rPr>
      </w:pPr>
    </w:p>
    <w:p w:rsidR="0005183D" w:rsidRPr="00A43D46" w:rsidRDefault="0005183D" w:rsidP="0005183D">
      <w:pPr>
        <w:pStyle w:val="Akapitzlist"/>
        <w:numPr>
          <w:ilvl w:val="0"/>
          <w:numId w:val="2"/>
        </w:numPr>
        <w:rPr>
          <w:rFonts w:ascii="Times New Roman" w:hAnsi="Times New Roman" w:cs="Times New Roman"/>
          <w:b/>
          <w:sz w:val="20"/>
          <w:szCs w:val="20"/>
        </w:rPr>
      </w:pPr>
      <w:r w:rsidRPr="00A43D46">
        <w:rPr>
          <w:rFonts w:ascii="Times New Roman" w:hAnsi="Times New Roman" w:cs="Times New Roman"/>
          <w:b/>
          <w:sz w:val="20"/>
          <w:szCs w:val="20"/>
        </w:rPr>
        <w:t>DANE IDENTYFIKUJĄCE</w:t>
      </w:r>
      <w:r w:rsidR="00535F3A">
        <w:rPr>
          <w:rFonts w:ascii="Times New Roman" w:hAnsi="Times New Roman" w:cs="Times New Roman"/>
          <w:b/>
          <w:sz w:val="20"/>
          <w:szCs w:val="20"/>
        </w:rPr>
        <w:t xml:space="preserve"> USŁUGODAWCĘ - </w:t>
      </w:r>
      <w:r w:rsidR="00B0169D">
        <w:rPr>
          <w:rFonts w:ascii="Times New Roman" w:hAnsi="Times New Roman" w:cs="Times New Roman"/>
          <w:b/>
          <w:sz w:val="20"/>
          <w:szCs w:val="20"/>
        </w:rPr>
        <w:t>INSTYTUCJĘ OTOCZENIA BIZNESU</w:t>
      </w:r>
      <w:r w:rsidR="00535F3A">
        <w:rPr>
          <w:rFonts w:ascii="Times New Roman" w:hAnsi="Times New Roman" w:cs="Times New Roman"/>
          <w:b/>
          <w:sz w:val="20"/>
          <w:szCs w:val="20"/>
        </w:rPr>
        <w:t>/ UCZELNIĘ WYŻSZĄ</w:t>
      </w:r>
    </w:p>
    <w:tbl>
      <w:tblPr>
        <w:tblStyle w:val="Tabela-Siatka"/>
        <w:tblW w:w="5000" w:type="pct"/>
        <w:tblLook w:val="04A0" w:firstRow="1" w:lastRow="0" w:firstColumn="1" w:lastColumn="0" w:noHBand="0" w:noVBand="1"/>
      </w:tblPr>
      <w:tblGrid>
        <w:gridCol w:w="2578"/>
        <w:gridCol w:w="7134"/>
      </w:tblGrid>
      <w:tr w:rsidR="0005183D" w:rsidRPr="00A43D46" w:rsidTr="00325580">
        <w:tc>
          <w:tcPr>
            <w:tcW w:w="2518" w:type="dxa"/>
            <w:shd w:val="clear" w:color="auto" w:fill="D9D9D9" w:themeFill="background1" w:themeFillShade="D9"/>
          </w:tcPr>
          <w:p w:rsidR="0005183D" w:rsidRPr="002167C7" w:rsidRDefault="0005183D" w:rsidP="006313BA">
            <w:pPr>
              <w:pStyle w:val="Akapitzlist"/>
              <w:spacing w:after="0" w:line="240" w:lineRule="auto"/>
              <w:ind w:left="0"/>
              <w:jc w:val="both"/>
              <w:rPr>
                <w:rFonts w:ascii="Times New Roman" w:hAnsi="Times New Roman" w:cs="Times New Roman"/>
                <w:szCs w:val="20"/>
              </w:rPr>
            </w:pPr>
            <w:bookmarkStart w:id="1" w:name="_Hlk534957513"/>
            <w:r w:rsidRPr="00B43CAA">
              <w:rPr>
                <w:rFonts w:ascii="Times New Roman" w:hAnsi="Times New Roman" w:cs="Times New Roman"/>
                <w:szCs w:val="20"/>
              </w:rPr>
              <w:t xml:space="preserve">Nazwa </w:t>
            </w:r>
            <w:r w:rsidR="000340F0">
              <w:rPr>
                <w:rFonts w:ascii="Times New Roman" w:hAnsi="Times New Roman" w:cs="Times New Roman"/>
                <w:szCs w:val="20"/>
              </w:rPr>
              <w:t>instytucji</w:t>
            </w:r>
            <w:r w:rsidRPr="00A43D46">
              <w:rPr>
                <w:rFonts w:ascii="Times New Roman" w:hAnsi="Times New Roman" w:cs="Times New Roman"/>
                <w:szCs w:val="20"/>
              </w:rPr>
              <w:t xml:space="preserve"> zgodnie z dokumentem rejestrowym</w:t>
            </w:r>
          </w:p>
        </w:tc>
        <w:tc>
          <w:tcPr>
            <w:tcW w:w="6968" w:type="dxa"/>
            <w:shd w:val="clear" w:color="auto" w:fill="auto"/>
          </w:tcPr>
          <w:p w:rsidR="0005183D" w:rsidRPr="002718AF" w:rsidRDefault="00DB6A86" w:rsidP="006313BA">
            <w:pPr>
              <w:pStyle w:val="Akapitzlist"/>
              <w:spacing w:after="0" w:line="240" w:lineRule="auto"/>
              <w:ind w:left="0"/>
              <w:rPr>
                <w:rFonts w:ascii="Times New Roman" w:hAnsi="Times New Roman" w:cs="Times New Roman"/>
                <w:b/>
                <w:szCs w:val="20"/>
              </w:rPr>
            </w:pPr>
            <w:r w:rsidRPr="002718AF">
              <w:rPr>
                <w:rFonts w:ascii="Times New Roman" w:hAnsi="Times New Roman" w:cs="Times New Roman"/>
                <w:b/>
                <w:szCs w:val="20"/>
              </w:rPr>
              <w:t>Gmina Kielce / Kielecki Park Technologiczny</w:t>
            </w:r>
          </w:p>
        </w:tc>
      </w:tr>
      <w:bookmarkEnd w:id="1"/>
      <w:tr w:rsidR="0005183D" w:rsidRPr="00A43D46" w:rsidTr="002167C7">
        <w:trPr>
          <w:trHeight w:val="492"/>
        </w:trPr>
        <w:tc>
          <w:tcPr>
            <w:tcW w:w="2518" w:type="dxa"/>
            <w:shd w:val="clear" w:color="auto" w:fill="D9D9D9" w:themeFill="background1" w:themeFillShade="D9"/>
          </w:tcPr>
          <w:p w:rsidR="0005183D" w:rsidRPr="00A43D46" w:rsidRDefault="0005183D" w:rsidP="006313BA">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Imię i nazwisko osoby kontaktowej</w:t>
            </w:r>
          </w:p>
        </w:tc>
        <w:tc>
          <w:tcPr>
            <w:tcW w:w="6968" w:type="dxa"/>
            <w:shd w:val="clear" w:color="auto" w:fill="auto"/>
          </w:tcPr>
          <w:p w:rsidR="0005183D" w:rsidRPr="002718AF" w:rsidRDefault="00DB6A86" w:rsidP="006313BA">
            <w:pPr>
              <w:pStyle w:val="Akapitzlist"/>
              <w:spacing w:after="0" w:line="240" w:lineRule="auto"/>
              <w:ind w:left="0"/>
              <w:rPr>
                <w:rFonts w:ascii="Times New Roman" w:hAnsi="Times New Roman" w:cs="Times New Roman"/>
                <w:b/>
                <w:szCs w:val="20"/>
              </w:rPr>
            </w:pPr>
            <w:r w:rsidRPr="002718AF">
              <w:rPr>
                <w:rFonts w:ascii="Times New Roman" w:hAnsi="Times New Roman" w:cs="Times New Roman"/>
                <w:b/>
                <w:szCs w:val="20"/>
              </w:rPr>
              <w:t>Dominik Mikołaszek</w:t>
            </w:r>
          </w:p>
        </w:tc>
      </w:tr>
      <w:tr w:rsidR="0005183D" w:rsidRPr="00A43D46" w:rsidTr="00325580">
        <w:tc>
          <w:tcPr>
            <w:tcW w:w="2518" w:type="dxa"/>
            <w:shd w:val="clear" w:color="auto" w:fill="D9D9D9" w:themeFill="background1" w:themeFillShade="D9"/>
          </w:tcPr>
          <w:p w:rsidR="0005183D" w:rsidRPr="00A43D46" w:rsidRDefault="0005183D" w:rsidP="006313BA">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Telefon kontaktowy</w:t>
            </w:r>
          </w:p>
          <w:p w:rsidR="0005183D" w:rsidRPr="00A43D46" w:rsidRDefault="0005183D" w:rsidP="006313BA">
            <w:pPr>
              <w:pStyle w:val="Akapitzlist"/>
              <w:spacing w:after="0" w:line="240" w:lineRule="auto"/>
              <w:ind w:left="0"/>
              <w:jc w:val="both"/>
              <w:rPr>
                <w:rFonts w:ascii="Times New Roman" w:hAnsi="Times New Roman" w:cs="Times New Roman"/>
                <w:szCs w:val="20"/>
              </w:rPr>
            </w:pPr>
          </w:p>
        </w:tc>
        <w:tc>
          <w:tcPr>
            <w:tcW w:w="6968" w:type="dxa"/>
            <w:shd w:val="clear" w:color="auto" w:fill="auto"/>
          </w:tcPr>
          <w:p w:rsidR="0005183D" w:rsidRPr="002718AF" w:rsidRDefault="00DB6A86" w:rsidP="006313BA">
            <w:pPr>
              <w:pStyle w:val="Akapitzlist"/>
              <w:spacing w:after="0" w:line="240" w:lineRule="auto"/>
              <w:ind w:left="0"/>
              <w:rPr>
                <w:rFonts w:ascii="Times New Roman" w:hAnsi="Times New Roman" w:cs="Times New Roman"/>
                <w:b/>
                <w:szCs w:val="20"/>
              </w:rPr>
            </w:pPr>
            <w:r w:rsidRPr="002718AF">
              <w:rPr>
                <w:rFonts w:ascii="Times New Roman" w:hAnsi="Times New Roman" w:cs="Times New Roman"/>
                <w:b/>
                <w:szCs w:val="20"/>
              </w:rPr>
              <w:t>+48412787241</w:t>
            </w:r>
          </w:p>
        </w:tc>
      </w:tr>
      <w:tr w:rsidR="0005183D" w:rsidRPr="00A43D46" w:rsidTr="00325580">
        <w:tc>
          <w:tcPr>
            <w:tcW w:w="2518" w:type="dxa"/>
            <w:shd w:val="clear" w:color="auto" w:fill="D9D9D9" w:themeFill="background1" w:themeFillShade="D9"/>
          </w:tcPr>
          <w:p w:rsidR="0005183D" w:rsidRPr="00A43D46" w:rsidRDefault="00325580" w:rsidP="006313BA">
            <w:pPr>
              <w:pStyle w:val="Akapitzlist"/>
              <w:spacing w:after="0" w:line="240" w:lineRule="auto"/>
              <w:ind w:left="0"/>
              <w:jc w:val="both"/>
              <w:rPr>
                <w:rFonts w:ascii="Times New Roman" w:hAnsi="Times New Roman" w:cs="Times New Roman"/>
                <w:szCs w:val="20"/>
              </w:rPr>
            </w:pPr>
            <w:r>
              <w:rPr>
                <w:rFonts w:ascii="Times New Roman" w:hAnsi="Times New Roman" w:cs="Times New Roman"/>
                <w:szCs w:val="20"/>
              </w:rPr>
              <w:t xml:space="preserve">Strona www/ </w:t>
            </w:r>
            <w:r w:rsidR="0005183D" w:rsidRPr="00A43D46">
              <w:rPr>
                <w:rFonts w:ascii="Times New Roman" w:hAnsi="Times New Roman" w:cs="Times New Roman"/>
                <w:szCs w:val="20"/>
              </w:rPr>
              <w:t>E-mail</w:t>
            </w:r>
          </w:p>
          <w:p w:rsidR="0005183D" w:rsidRPr="00A43D46" w:rsidRDefault="0005183D" w:rsidP="006313BA">
            <w:pPr>
              <w:pStyle w:val="Akapitzlist"/>
              <w:spacing w:after="0" w:line="240" w:lineRule="auto"/>
              <w:ind w:left="0"/>
              <w:jc w:val="both"/>
              <w:rPr>
                <w:rFonts w:ascii="Times New Roman" w:hAnsi="Times New Roman" w:cs="Times New Roman"/>
                <w:szCs w:val="20"/>
              </w:rPr>
            </w:pPr>
          </w:p>
        </w:tc>
        <w:tc>
          <w:tcPr>
            <w:tcW w:w="6968" w:type="dxa"/>
            <w:shd w:val="clear" w:color="auto" w:fill="auto"/>
          </w:tcPr>
          <w:p w:rsidR="0005183D" w:rsidRPr="002718AF" w:rsidRDefault="0040351D" w:rsidP="006313BA">
            <w:pPr>
              <w:pStyle w:val="Akapitzlist"/>
              <w:spacing w:after="0" w:line="240" w:lineRule="auto"/>
              <w:ind w:left="0"/>
              <w:rPr>
                <w:rFonts w:ascii="Times New Roman" w:hAnsi="Times New Roman" w:cs="Times New Roman"/>
                <w:b/>
                <w:szCs w:val="20"/>
              </w:rPr>
            </w:pPr>
            <w:hyperlink r:id="rId8" w:history="1">
              <w:r w:rsidR="002718AF" w:rsidRPr="00A51ACC">
                <w:rPr>
                  <w:rStyle w:val="Hipercze"/>
                  <w:rFonts w:ascii="Times New Roman" w:hAnsi="Times New Roman" w:cs="Times New Roman"/>
                  <w:b/>
                  <w:szCs w:val="20"/>
                </w:rPr>
                <w:t>www.technopark.kielce.pl</w:t>
              </w:r>
            </w:hyperlink>
            <w:r w:rsidR="002718AF">
              <w:rPr>
                <w:rFonts w:ascii="Times New Roman" w:hAnsi="Times New Roman" w:cs="Times New Roman"/>
                <w:b/>
                <w:szCs w:val="20"/>
              </w:rPr>
              <w:t xml:space="preserve"> / biuro@technopark.kielce.pl</w:t>
            </w:r>
          </w:p>
        </w:tc>
      </w:tr>
    </w:tbl>
    <w:p w:rsidR="0005183D" w:rsidRDefault="0005183D">
      <w:pPr>
        <w:rPr>
          <w:rFonts w:ascii="Times New Roman" w:hAnsi="Times New Roman" w:cs="Times New Roman"/>
          <w:sz w:val="20"/>
          <w:szCs w:val="20"/>
        </w:rPr>
      </w:pPr>
    </w:p>
    <w:tbl>
      <w:tblPr>
        <w:tblStyle w:val="Tabela-Siatka"/>
        <w:tblW w:w="5000" w:type="pct"/>
        <w:tblLook w:val="04A0" w:firstRow="1" w:lastRow="0" w:firstColumn="1" w:lastColumn="0" w:noHBand="0" w:noVBand="1"/>
      </w:tblPr>
      <w:tblGrid>
        <w:gridCol w:w="2983"/>
        <w:gridCol w:w="6729"/>
      </w:tblGrid>
      <w:tr w:rsidR="0005183D" w:rsidRPr="00A43D46" w:rsidTr="00742F9A">
        <w:trPr>
          <w:trHeight w:val="583"/>
        </w:trPr>
        <w:tc>
          <w:tcPr>
            <w:tcW w:w="9486" w:type="dxa"/>
            <w:gridSpan w:val="2"/>
            <w:shd w:val="clear" w:color="auto" w:fill="D9D9D9" w:themeFill="background1" w:themeFillShade="D9"/>
          </w:tcPr>
          <w:p w:rsidR="0005183D" w:rsidRPr="00765879" w:rsidRDefault="0005183D" w:rsidP="006313BA">
            <w:pPr>
              <w:pStyle w:val="Akapitzlist"/>
              <w:spacing w:after="0" w:line="240" w:lineRule="auto"/>
              <w:ind w:left="0"/>
              <w:jc w:val="both"/>
              <w:rPr>
                <w:rFonts w:ascii="Times New Roman" w:hAnsi="Times New Roman" w:cs="Times New Roman"/>
                <w:b/>
                <w:szCs w:val="20"/>
              </w:rPr>
            </w:pPr>
            <w:r w:rsidRPr="00765879">
              <w:rPr>
                <w:rFonts w:ascii="Times New Roman" w:hAnsi="Times New Roman" w:cs="Times New Roman"/>
                <w:b/>
                <w:szCs w:val="20"/>
              </w:rPr>
              <w:t>Adres siedziby lub stałego miejsca wykonywania działalności zgodnie z dokumentem rejestrowym</w:t>
            </w:r>
          </w:p>
        </w:tc>
      </w:tr>
      <w:tr w:rsidR="004161B3" w:rsidRPr="00A43D46" w:rsidTr="00742F9A">
        <w:trPr>
          <w:trHeight w:val="583"/>
        </w:trPr>
        <w:tc>
          <w:tcPr>
            <w:tcW w:w="2914" w:type="dxa"/>
            <w:shd w:val="clear" w:color="auto" w:fill="D9D9D9" w:themeFill="background1" w:themeFillShade="D9"/>
          </w:tcPr>
          <w:p w:rsidR="004161B3" w:rsidRPr="00A43D46" w:rsidRDefault="004161B3" w:rsidP="006313BA">
            <w:pPr>
              <w:pStyle w:val="Akapitzlist"/>
              <w:spacing w:after="0" w:line="240" w:lineRule="auto"/>
              <w:ind w:left="0"/>
              <w:jc w:val="both"/>
              <w:rPr>
                <w:rFonts w:ascii="Times New Roman" w:hAnsi="Times New Roman" w:cs="Times New Roman"/>
                <w:szCs w:val="20"/>
              </w:rPr>
            </w:pPr>
            <w:r>
              <w:rPr>
                <w:rFonts w:ascii="Times New Roman" w:hAnsi="Times New Roman" w:cs="Times New Roman"/>
                <w:szCs w:val="20"/>
              </w:rPr>
              <w:t>Kraj</w:t>
            </w:r>
          </w:p>
        </w:tc>
        <w:tc>
          <w:tcPr>
            <w:tcW w:w="6572" w:type="dxa"/>
            <w:shd w:val="clear" w:color="auto" w:fill="auto"/>
          </w:tcPr>
          <w:p w:rsidR="004161B3" w:rsidRPr="002718AF" w:rsidRDefault="00461CF9" w:rsidP="006313BA">
            <w:pPr>
              <w:pStyle w:val="Akapitzlist"/>
              <w:spacing w:after="0" w:line="240" w:lineRule="auto"/>
              <w:ind w:left="0"/>
              <w:rPr>
                <w:rFonts w:ascii="Times New Roman" w:hAnsi="Times New Roman" w:cs="Times New Roman"/>
                <w:b/>
                <w:szCs w:val="20"/>
              </w:rPr>
            </w:pPr>
            <w:r w:rsidRPr="002718AF">
              <w:rPr>
                <w:rFonts w:ascii="Times New Roman" w:hAnsi="Times New Roman" w:cs="Times New Roman"/>
                <w:b/>
                <w:szCs w:val="20"/>
              </w:rPr>
              <w:t>Polska</w:t>
            </w:r>
          </w:p>
        </w:tc>
      </w:tr>
      <w:tr w:rsidR="0005183D" w:rsidRPr="00A43D46" w:rsidTr="00742F9A">
        <w:trPr>
          <w:trHeight w:val="583"/>
        </w:trPr>
        <w:tc>
          <w:tcPr>
            <w:tcW w:w="2914" w:type="dxa"/>
            <w:shd w:val="clear" w:color="auto" w:fill="D9D9D9" w:themeFill="background1" w:themeFillShade="D9"/>
          </w:tcPr>
          <w:p w:rsidR="0005183D" w:rsidRPr="00A43D46" w:rsidRDefault="0005183D" w:rsidP="006313BA">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Województwo</w:t>
            </w:r>
          </w:p>
        </w:tc>
        <w:tc>
          <w:tcPr>
            <w:tcW w:w="6572" w:type="dxa"/>
            <w:shd w:val="clear" w:color="auto" w:fill="auto"/>
          </w:tcPr>
          <w:p w:rsidR="0005183D" w:rsidRPr="002718AF" w:rsidRDefault="00461CF9" w:rsidP="006313BA">
            <w:pPr>
              <w:pStyle w:val="Akapitzlist"/>
              <w:spacing w:after="0" w:line="240" w:lineRule="auto"/>
              <w:ind w:left="0"/>
              <w:rPr>
                <w:rFonts w:ascii="Times New Roman" w:hAnsi="Times New Roman" w:cs="Times New Roman"/>
                <w:b/>
                <w:szCs w:val="20"/>
              </w:rPr>
            </w:pPr>
            <w:r w:rsidRPr="002718AF">
              <w:rPr>
                <w:rFonts w:ascii="Times New Roman" w:hAnsi="Times New Roman" w:cs="Times New Roman"/>
                <w:b/>
                <w:szCs w:val="20"/>
              </w:rPr>
              <w:t>Świętokrzyskie</w:t>
            </w:r>
          </w:p>
        </w:tc>
      </w:tr>
      <w:tr w:rsidR="0005183D" w:rsidRPr="00A43D46" w:rsidTr="00742F9A">
        <w:trPr>
          <w:trHeight w:val="583"/>
        </w:trPr>
        <w:tc>
          <w:tcPr>
            <w:tcW w:w="2914" w:type="dxa"/>
            <w:shd w:val="clear" w:color="auto" w:fill="D9D9D9" w:themeFill="background1" w:themeFillShade="D9"/>
          </w:tcPr>
          <w:p w:rsidR="0005183D" w:rsidRPr="00A43D46" w:rsidRDefault="0005183D" w:rsidP="006313BA">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Gmina</w:t>
            </w:r>
            <w:r w:rsidR="00BB2FE3">
              <w:rPr>
                <w:rFonts w:ascii="Times New Roman" w:hAnsi="Times New Roman" w:cs="Times New Roman"/>
                <w:szCs w:val="20"/>
              </w:rPr>
              <w:t>/ Powiat</w:t>
            </w:r>
          </w:p>
        </w:tc>
        <w:tc>
          <w:tcPr>
            <w:tcW w:w="6572" w:type="dxa"/>
            <w:shd w:val="clear" w:color="auto" w:fill="auto"/>
          </w:tcPr>
          <w:p w:rsidR="0005183D" w:rsidRPr="002718AF" w:rsidRDefault="00461CF9" w:rsidP="006313BA">
            <w:pPr>
              <w:pStyle w:val="Akapitzlist"/>
              <w:spacing w:after="0" w:line="240" w:lineRule="auto"/>
              <w:ind w:left="0"/>
              <w:rPr>
                <w:rFonts w:ascii="Times New Roman" w:hAnsi="Times New Roman" w:cs="Times New Roman"/>
                <w:b/>
                <w:szCs w:val="20"/>
              </w:rPr>
            </w:pPr>
            <w:r w:rsidRPr="002718AF">
              <w:rPr>
                <w:rFonts w:ascii="Times New Roman" w:hAnsi="Times New Roman" w:cs="Times New Roman"/>
                <w:b/>
                <w:szCs w:val="20"/>
              </w:rPr>
              <w:t>Kielce</w:t>
            </w:r>
          </w:p>
        </w:tc>
      </w:tr>
      <w:tr w:rsidR="0005183D" w:rsidRPr="00A43D46" w:rsidTr="00742F9A">
        <w:trPr>
          <w:trHeight w:val="583"/>
        </w:trPr>
        <w:tc>
          <w:tcPr>
            <w:tcW w:w="2914" w:type="dxa"/>
            <w:shd w:val="clear" w:color="auto" w:fill="D9D9D9" w:themeFill="background1" w:themeFillShade="D9"/>
          </w:tcPr>
          <w:p w:rsidR="0005183D" w:rsidRPr="00A43D46" w:rsidRDefault="0005183D" w:rsidP="006313BA">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Miejscowość</w:t>
            </w:r>
            <w:r w:rsidR="00BB2FE3">
              <w:rPr>
                <w:rFonts w:ascii="Times New Roman" w:hAnsi="Times New Roman" w:cs="Times New Roman"/>
                <w:szCs w:val="20"/>
              </w:rPr>
              <w:t>/ Kod pocztowy</w:t>
            </w:r>
          </w:p>
        </w:tc>
        <w:tc>
          <w:tcPr>
            <w:tcW w:w="6572" w:type="dxa"/>
            <w:shd w:val="clear" w:color="auto" w:fill="auto"/>
          </w:tcPr>
          <w:p w:rsidR="0005183D" w:rsidRPr="002718AF" w:rsidRDefault="00461CF9" w:rsidP="006313BA">
            <w:pPr>
              <w:pStyle w:val="Akapitzlist"/>
              <w:spacing w:after="0" w:line="240" w:lineRule="auto"/>
              <w:ind w:left="0"/>
              <w:rPr>
                <w:rFonts w:ascii="Times New Roman" w:hAnsi="Times New Roman" w:cs="Times New Roman"/>
                <w:b/>
                <w:szCs w:val="20"/>
              </w:rPr>
            </w:pPr>
            <w:r w:rsidRPr="002718AF">
              <w:rPr>
                <w:rFonts w:ascii="Times New Roman" w:hAnsi="Times New Roman" w:cs="Times New Roman"/>
                <w:b/>
                <w:szCs w:val="20"/>
              </w:rPr>
              <w:t>Kielce / 25-663</w:t>
            </w:r>
          </w:p>
        </w:tc>
      </w:tr>
      <w:tr w:rsidR="0005183D" w:rsidRPr="00A43D46" w:rsidTr="00742F9A">
        <w:trPr>
          <w:trHeight w:val="583"/>
        </w:trPr>
        <w:tc>
          <w:tcPr>
            <w:tcW w:w="2914" w:type="dxa"/>
            <w:shd w:val="clear" w:color="auto" w:fill="D9D9D9" w:themeFill="background1" w:themeFillShade="D9"/>
          </w:tcPr>
          <w:p w:rsidR="0005183D" w:rsidRDefault="0005183D" w:rsidP="006313BA">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Ulica</w:t>
            </w:r>
          </w:p>
          <w:p w:rsidR="00BB2FE3" w:rsidRPr="00A43D46" w:rsidRDefault="00BB2FE3" w:rsidP="006313BA">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Numer budynku</w:t>
            </w:r>
            <w:r>
              <w:rPr>
                <w:rFonts w:ascii="Times New Roman" w:hAnsi="Times New Roman" w:cs="Times New Roman"/>
                <w:szCs w:val="20"/>
              </w:rPr>
              <w:t>/ lokalu</w:t>
            </w:r>
          </w:p>
        </w:tc>
        <w:tc>
          <w:tcPr>
            <w:tcW w:w="6572" w:type="dxa"/>
            <w:shd w:val="clear" w:color="auto" w:fill="auto"/>
          </w:tcPr>
          <w:p w:rsidR="0005183D" w:rsidRPr="00DB6A86" w:rsidRDefault="00461CF9" w:rsidP="006313BA">
            <w:pPr>
              <w:pStyle w:val="Akapitzlist"/>
              <w:spacing w:after="0" w:line="240" w:lineRule="auto"/>
              <w:ind w:left="0"/>
              <w:rPr>
                <w:rFonts w:ascii="Times New Roman" w:hAnsi="Times New Roman" w:cs="Times New Roman"/>
                <w:b/>
                <w:szCs w:val="20"/>
              </w:rPr>
            </w:pPr>
            <w:r w:rsidRPr="00DB6A86">
              <w:rPr>
                <w:rFonts w:ascii="Times New Roman" w:hAnsi="Times New Roman" w:cs="Times New Roman"/>
                <w:b/>
                <w:szCs w:val="20"/>
              </w:rPr>
              <w:t>Olszewskiego 6</w:t>
            </w:r>
          </w:p>
        </w:tc>
      </w:tr>
      <w:tr w:rsidR="0005183D" w:rsidRPr="00A43D46" w:rsidTr="00742F9A">
        <w:trPr>
          <w:trHeight w:val="583"/>
        </w:trPr>
        <w:tc>
          <w:tcPr>
            <w:tcW w:w="2914" w:type="dxa"/>
            <w:shd w:val="clear" w:color="auto" w:fill="D9D9D9" w:themeFill="background1" w:themeFillShade="D9"/>
          </w:tcPr>
          <w:p w:rsidR="0005183D" w:rsidRPr="00A43D46" w:rsidRDefault="0005183D" w:rsidP="006313BA">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NIP</w:t>
            </w:r>
          </w:p>
        </w:tc>
        <w:tc>
          <w:tcPr>
            <w:tcW w:w="6572" w:type="dxa"/>
            <w:shd w:val="clear" w:color="auto" w:fill="auto"/>
          </w:tcPr>
          <w:p w:rsidR="0005183D" w:rsidRPr="00DB6A86" w:rsidRDefault="00461CF9" w:rsidP="006313BA">
            <w:pPr>
              <w:pStyle w:val="Akapitzlist"/>
              <w:spacing w:after="0" w:line="240" w:lineRule="auto"/>
              <w:ind w:left="0"/>
              <w:rPr>
                <w:rFonts w:ascii="Times New Roman" w:hAnsi="Times New Roman" w:cs="Times New Roman"/>
                <w:b/>
                <w:szCs w:val="20"/>
              </w:rPr>
            </w:pPr>
            <w:r w:rsidRPr="00DB6A86">
              <w:rPr>
                <w:rFonts w:ascii="Times New Roman" w:hAnsi="Times New Roman" w:cs="Times New Roman"/>
                <w:b/>
                <w:szCs w:val="20"/>
              </w:rPr>
              <w:t>657-261-73-25</w:t>
            </w:r>
          </w:p>
        </w:tc>
      </w:tr>
      <w:tr w:rsidR="00B43CAA" w:rsidRPr="00A43D46" w:rsidTr="00742F9A">
        <w:trPr>
          <w:trHeight w:val="583"/>
        </w:trPr>
        <w:tc>
          <w:tcPr>
            <w:tcW w:w="2914" w:type="dxa"/>
            <w:shd w:val="clear" w:color="auto" w:fill="D9D9D9" w:themeFill="background1" w:themeFillShade="D9"/>
          </w:tcPr>
          <w:p w:rsidR="00B43CAA" w:rsidRPr="00A43D46" w:rsidRDefault="00B43CAA" w:rsidP="006313BA">
            <w:pPr>
              <w:pStyle w:val="Akapitzlist"/>
              <w:spacing w:after="0" w:line="240" w:lineRule="auto"/>
              <w:ind w:left="0"/>
              <w:jc w:val="both"/>
              <w:rPr>
                <w:rFonts w:ascii="Times New Roman" w:hAnsi="Times New Roman" w:cs="Times New Roman"/>
                <w:szCs w:val="20"/>
              </w:rPr>
            </w:pPr>
            <w:r>
              <w:rPr>
                <w:rFonts w:ascii="Times New Roman" w:hAnsi="Times New Roman" w:cs="Times New Roman"/>
                <w:szCs w:val="20"/>
              </w:rPr>
              <w:t>Data rozpoczęcia działalności</w:t>
            </w:r>
            <w:r w:rsidR="00535F3A">
              <w:rPr>
                <w:rFonts w:ascii="Times New Roman" w:hAnsi="Times New Roman" w:cs="Times New Roman"/>
                <w:szCs w:val="20"/>
              </w:rPr>
              <w:t xml:space="preserve"> (zgodnie z dokumentem rejestrowym)</w:t>
            </w:r>
          </w:p>
        </w:tc>
        <w:tc>
          <w:tcPr>
            <w:tcW w:w="6572" w:type="dxa"/>
            <w:shd w:val="clear" w:color="auto" w:fill="auto"/>
          </w:tcPr>
          <w:p w:rsidR="00B43CAA" w:rsidRPr="00A43D46" w:rsidRDefault="00DB6A86" w:rsidP="00DB6A86">
            <w:pPr>
              <w:pStyle w:val="Akapitzlist"/>
              <w:spacing w:after="0" w:line="240" w:lineRule="auto"/>
              <w:ind w:left="0"/>
              <w:jc w:val="both"/>
              <w:rPr>
                <w:rFonts w:ascii="Times New Roman" w:hAnsi="Times New Roman" w:cs="Times New Roman"/>
                <w:szCs w:val="20"/>
              </w:rPr>
            </w:pPr>
            <w:r w:rsidRPr="00DB6A86">
              <w:rPr>
                <w:rFonts w:ascii="Times New Roman" w:hAnsi="Times New Roman" w:cs="Times New Roman"/>
                <w:b/>
                <w:szCs w:val="20"/>
              </w:rPr>
              <w:t>03.04.2008</w:t>
            </w:r>
            <w:r>
              <w:rPr>
                <w:rFonts w:ascii="Times New Roman" w:hAnsi="Times New Roman" w:cs="Times New Roman"/>
                <w:szCs w:val="20"/>
              </w:rPr>
              <w:t xml:space="preserve"> (</w:t>
            </w:r>
            <w:r w:rsidRPr="00DB6A86">
              <w:rPr>
                <w:rFonts w:ascii="Times New Roman" w:hAnsi="Times New Roman" w:cs="Times New Roman"/>
                <w:szCs w:val="20"/>
              </w:rPr>
              <w:t>Uchwała nr XXII/477/2008 Rady Miejskiej w Kielcach z dnia 3 kwietnia 2008r. w sprawie utworzenia jednostki budżetowej o nazwie Kielecki Inkubator Technologiczny w Kielcach oraz ustalenia źródeł dochodów własnych tej jednostki i ich przeznaczenia</w:t>
            </w:r>
            <w:r>
              <w:rPr>
                <w:rFonts w:ascii="Times New Roman" w:hAnsi="Times New Roman" w:cs="Times New Roman"/>
                <w:szCs w:val="20"/>
              </w:rPr>
              <w:t>)</w:t>
            </w:r>
          </w:p>
        </w:tc>
      </w:tr>
    </w:tbl>
    <w:p w:rsidR="001D1A79" w:rsidRPr="00A43D46" w:rsidRDefault="001D1A79" w:rsidP="0005183D">
      <w:pPr>
        <w:spacing w:after="0" w:line="240" w:lineRule="auto"/>
        <w:jc w:val="both"/>
        <w:rPr>
          <w:rFonts w:ascii="Times New Roman" w:hAnsi="Times New Roman" w:cs="Times New Roman"/>
          <w:b/>
          <w:bCs/>
          <w:sz w:val="20"/>
          <w:szCs w:val="20"/>
        </w:rPr>
      </w:pPr>
    </w:p>
    <w:p w:rsidR="0005183D" w:rsidRPr="00BB2FE3" w:rsidRDefault="000340F0" w:rsidP="00687750">
      <w:pPr>
        <w:pStyle w:val="Akapitzlist"/>
        <w:numPr>
          <w:ilvl w:val="0"/>
          <w:numId w:val="20"/>
        </w:numPr>
        <w:rPr>
          <w:rFonts w:ascii="Times New Roman" w:hAnsi="Times New Roman" w:cs="Times New Roman"/>
          <w:b/>
          <w:sz w:val="20"/>
          <w:szCs w:val="20"/>
        </w:rPr>
      </w:pPr>
      <w:r>
        <w:rPr>
          <w:rFonts w:ascii="Times New Roman" w:hAnsi="Times New Roman" w:cs="Times New Roman"/>
          <w:b/>
          <w:sz w:val="20"/>
          <w:szCs w:val="20"/>
        </w:rPr>
        <w:t xml:space="preserve">OPIS </w:t>
      </w:r>
      <w:r w:rsidR="00687750">
        <w:rPr>
          <w:rFonts w:ascii="Times New Roman" w:hAnsi="Times New Roman" w:cs="Times New Roman"/>
          <w:b/>
          <w:sz w:val="20"/>
          <w:szCs w:val="20"/>
        </w:rPr>
        <w:t xml:space="preserve">DOTYCHCZASOWEJ </w:t>
      </w:r>
      <w:r>
        <w:rPr>
          <w:rFonts w:ascii="Times New Roman" w:hAnsi="Times New Roman" w:cs="Times New Roman"/>
          <w:b/>
          <w:sz w:val="20"/>
          <w:szCs w:val="20"/>
        </w:rPr>
        <w:t>DZIAŁALNOŚCI</w:t>
      </w:r>
      <w:r w:rsidR="00535F3A">
        <w:rPr>
          <w:rFonts w:ascii="Times New Roman" w:hAnsi="Times New Roman" w:cs="Times New Roman"/>
          <w:b/>
          <w:sz w:val="20"/>
          <w:szCs w:val="20"/>
        </w:rPr>
        <w:t xml:space="preserve"> USŁUGODAWCY - INSTYTUCJI OTOCZENIA BIZNESU/ UCZELNI WYŻSZEJ </w:t>
      </w:r>
      <w:r w:rsidR="0005183D" w:rsidRPr="00535F3A">
        <w:rPr>
          <w:rFonts w:ascii="Times New Roman" w:hAnsi="Times New Roman" w:cs="Times New Roman"/>
          <w:i/>
          <w:sz w:val="20"/>
          <w:szCs w:val="20"/>
        </w:rPr>
        <w:t xml:space="preserve"> </w:t>
      </w:r>
      <w:r w:rsidR="00CC2BDD" w:rsidRPr="00535F3A">
        <w:rPr>
          <w:rFonts w:ascii="Times New Roman" w:hAnsi="Times New Roman" w:cs="Times New Roman"/>
          <w:sz w:val="20"/>
          <w:szCs w:val="20"/>
        </w:rPr>
        <w:t>(</w:t>
      </w:r>
      <w:r w:rsidR="00535F3A" w:rsidRPr="00535F3A">
        <w:rPr>
          <w:rFonts w:ascii="Times New Roman" w:hAnsi="Times New Roman" w:cs="Times New Roman"/>
          <w:sz w:val="20"/>
          <w:szCs w:val="20"/>
        </w:rPr>
        <w:t xml:space="preserve"> do 5 000 znaków,</w:t>
      </w:r>
      <w:r w:rsidR="00CC2BDD" w:rsidRPr="00535F3A">
        <w:rPr>
          <w:rFonts w:ascii="Times New Roman" w:hAnsi="Times New Roman" w:cs="Times New Roman"/>
          <w:sz w:val="20"/>
          <w:szCs w:val="20"/>
        </w:rPr>
        <w:t xml:space="preserve"> </w:t>
      </w:r>
      <w:r w:rsidR="00687750">
        <w:rPr>
          <w:rFonts w:ascii="Times New Roman" w:hAnsi="Times New Roman" w:cs="Times New Roman"/>
          <w:sz w:val="20"/>
          <w:szCs w:val="20"/>
        </w:rPr>
        <w:t xml:space="preserve">opisać doświadczenie działalności na rynku, w tym m.in. w realizacji min. 5 usług doradczych na rzecz MŚP w okresie ostatnich 3 lat, dodatkowo jeśli dotyczy opisać </w:t>
      </w:r>
      <w:r w:rsidR="00CC2BDD" w:rsidRPr="00535F3A">
        <w:rPr>
          <w:rFonts w:ascii="Times New Roman" w:hAnsi="Times New Roman" w:cs="Times New Roman"/>
          <w:sz w:val="20"/>
          <w:szCs w:val="20"/>
        </w:rPr>
        <w:t>posiadane licencje, akredytacje, certyfikaty lub inny dokument poświadczający uprawnienia podmiotu do świadczenia usług  doradczych)</w:t>
      </w:r>
    </w:p>
    <w:tbl>
      <w:tblPr>
        <w:tblStyle w:val="Tabela-Siatka"/>
        <w:tblW w:w="5000" w:type="pct"/>
        <w:tblLook w:val="04A0" w:firstRow="1" w:lastRow="0" w:firstColumn="1" w:lastColumn="0" w:noHBand="0" w:noVBand="1"/>
      </w:tblPr>
      <w:tblGrid>
        <w:gridCol w:w="9712"/>
      </w:tblGrid>
      <w:tr w:rsidR="0005183D" w:rsidRPr="00384BA1" w:rsidTr="006313BA">
        <w:trPr>
          <w:trHeight w:val="2550"/>
        </w:trPr>
        <w:tc>
          <w:tcPr>
            <w:tcW w:w="9072" w:type="dxa"/>
            <w:shd w:val="clear" w:color="auto" w:fill="auto"/>
          </w:tcPr>
          <w:p w:rsidR="002960F2" w:rsidRDefault="002960F2" w:rsidP="002718AF">
            <w:pPr>
              <w:pStyle w:val="Akapitzlist"/>
              <w:spacing w:after="0" w:line="240" w:lineRule="auto"/>
              <w:ind w:left="0"/>
              <w:jc w:val="both"/>
              <w:rPr>
                <w:rFonts w:ascii="Times New Roman" w:hAnsi="Times New Roman" w:cs="Times New Roman"/>
                <w:szCs w:val="20"/>
              </w:rPr>
            </w:pPr>
            <w:bookmarkStart w:id="2" w:name="_Hlk1385659"/>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 xml:space="preserve">Działający od 10 lat Kielecki Park Technologiczny, będący jednostką budżetową Miasta Kielce, jest jedynym Parkiem Technologicznym, będącym jednocześnie Inkubatorem Technologicznym w województwie świętokrzyskim. KPT składa się z dwóch stref: Strefa 1 – Zespół Inkubatorów Technologicznych i Strefa 2 – Centrum Technologiczne. W ramach zespołu inkubatorów, KPT świadczy kompleksowe i profesjonalne usługi dla firm działających w oparciu o innowacyjne rozwiązania technologiczne na każdym etapie ich rozwoju – od pomysłu do rozwoju rynkowego. Większość świadczonych usług finansowana jest ze środków unii europejskiej w ramach pozyskanych środków na realizację projektów rozwojowych KPT. Centrum Technologiczne zaprojektowane jest dla krajowych i zagranicznych dużych przedsiębiorstw które chcą zainwestować i prowadzić swoją działalność na terenie miasta. Obszar Centrum </w:t>
            </w:r>
            <w:r w:rsidRPr="004E1899">
              <w:rPr>
                <w:rFonts w:ascii="Calibri" w:eastAsia="Calibri" w:hAnsi="Calibri" w:cs="Times New Roman"/>
                <w:color w:val="auto"/>
              </w:rPr>
              <w:lastRenderedPageBreak/>
              <w:t>Technologicznego włączony jest w Specjalną Strefę Ekonomiczną „Starachowice”. Działalność realizowana przez KPT pozwala na konsolidację innowacyjności na jednym obszarze, uproszczenie wzajemnych kontaktów między przedsiębiorcami, skutkuje tworzeniem powiązań kooperacyjnych i wspólnymi przedsięwzięciami, tworząc tak zwany "efekt synergii" i rozwoju innowacyjnego środowiska. Misją Parku jest zwiększenie konkurencyjności i podniesienie atrakcyjności inwestycyjnej regionu. KPT stwarza warunki dla skutecznego wsparcia przedsiębiorców jednocześnie stymulując proces tworzenia nowych miejsc pracy. Park wspiera również młodych ludzi z pomysłami biznesowymi w tworzeniu swych własnych firm, a także pomaga nowo utworzonym i innowacyjnym firmom dojście do etapu dojrzałości rynkowej. KPT wspiera również firmy w rozwoju swojego biznesu i wyjście z działalnością na rynki zagraniczne. Obok innowacyjnej infrastruktury, Kielecki Park Technologiczny oferuje także usługi biznesowe i rozwojowe. Młode przedsiębiorstwa zlokalizowane w Kieleckim Parku Technologicznym korzystają z preferencyjnych stawek najmu, opieki biznesowej, konsultingu i szkoleń.</w:t>
            </w:r>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Kielecki Park Technologiczny w sposób ciągły poszukuje rozwiązań i wdraża „szyte na miarę” usługi uzależnione od zidentyfikowanych potrzeb przedsiębiorców. W ofercie parku znajduje się szeroki wachlarz usług oferowanych poprzez Zespół Inkubatorów Technologicznych i Centrum Technologiczne.</w:t>
            </w:r>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Usługi oferowane przez Park można podzielić na grupy:</w:t>
            </w:r>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 usługi nieruchomościowe (usługi stałe) – wynajem powierzchni biurowych, usługowych, wynajem powierzchni produkcyjnych i magazynowych, wynajem powierzchni laboratoryjnych, wynajem miejsc parkingowych,  usługi Centrum Konferencyjnego, dostęp do terenów inwestycyjnych;</w:t>
            </w:r>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 usługi biznesowe i okołobiznesowe (usługi stałe) – w tym obsługa recepcyjna, ochrona, sprzątanie, parking, dostawa mediów, usługi konserwacji itp.;</w:t>
            </w:r>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 xml:space="preserve">• usługi rozwojowe (usługi komercyjne realizowane na zamówienie lub współfinansowane ze środków UE) – usługi w zakresie B+R, usługi doradcze, usługi szkoleniowe; </w:t>
            </w:r>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 usługi teleinformatyczne (usługi stałe) – świadczenie usług w zakresie serwerowni;</w:t>
            </w:r>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 usługi wzornicze i designu (usługi komercyjne realizowane na zamówienie lub współfinansowane ze środków UE).</w:t>
            </w:r>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Kielecki Park Technologiczny dostarczał w okresie ostatnich 3 lat szeroki zakres usług doradczych dla Startup‘ów. Pakiet usług wyświadczonych w procesie inkubacji przez Kielecki Park Technologiczny obejmował katalog usług podstawowych oraz usługi specjalistyczne. We wspomnianym okresie ostatnich 3 lat KPT wyświadczył znaczną ilość usług doradczych na rzecz przedsiębiorstw typu MŚP. m.in. usługi przygotowania biznesplanu dla firm LETME AI Sp. z o.o., ALEF-BET Group Sp. z o.o, COSSI Sp. z o.o., AXEL Group Sp. z o.o.; Usługi doradcze  z zakresu ochrony praw własności przemysłowej na rzecz firm LETME.AI Sp z o.o., FRESH Sp. z o.o., ALEF-BET Group Sp. z o.o., COSSI Sp. z o.o.; Branding lub rebranding marki dla firm FRESH Sp. z o.o., ALEF-BET Group Sp. z o.o, Prodio Sp. z o.o. Przeprowadzenie badania stanu techniki oraz przygotowanie dokumentacji zgłoszeniowej do UPRP wynalazku na rzecz COSSI Sp. z o.o.</w:t>
            </w:r>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Wszystkie wspomniane wyżej usługi doradcze potwierdzone są umowami, protokołami zdawczo-odbiorczymi z datą wyświadczenia usługi oraz zaświadczeniami de-minimis.</w:t>
            </w:r>
          </w:p>
          <w:p w:rsidR="004E1899" w:rsidRPr="004E1899" w:rsidRDefault="004E1899" w:rsidP="004E1899">
            <w:pPr>
              <w:jc w:val="both"/>
              <w:rPr>
                <w:rFonts w:ascii="Calibri" w:eastAsia="Calibri" w:hAnsi="Calibri" w:cs="Times New Roman"/>
                <w:color w:val="auto"/>
              </w:rPr>
            </w:pPr>
            <w:r w:rsidRPr="004E1899">
              <w:rPr>
                <w:rFonts w:ascii="Calibri" w:eastAsia="Calibri" w:hAnsi="Calibri" w:cs="Times New Roman"/>
                <w:color w:val="auto"/>
              </w:rPr>
              <w:t>Kielecki Park Technologiczny jest akredytowanym przez Ministra Przedsiębiorczości i Technologii, w zakresie usług doradczych oraz usług wsparcia innowacji, Ośrodkiem Innowacji. KPT posiada również certyfikat zarządzania jakością świadczonych usług ISO 9001:2015-10.</w:t>
            </w:r>
          </w:p>
          <w:p w:rsidR="00E70310" w:rsidRPr="00384BA1" w:rsidRDefault="00E70310" w:rsidP="004E1899">
            <w:pPr>
              <w:pStyle w:val="Akapitzlist"/>
              <w:spacing w:after="0" w:line="240" w:lineRule="auto"/>
              <w:ind w:left="0"/>
              <w:jc w:val="both"/>
              <w:rPr>
                <w:rFonts w:ascii="Times New Roman" w:hAnsi="Times New Roman" w:cs="Times New Roman"/>
                <w:szCs w:val="20"/>
              </w:rPr>
            </w:pPr>
          </w:p>
        </w:tc>
      </w:tr>
      <w:bookmarkEnd w:id="2"/>
    </w:tbl>
    <w:p w:rsidR="002F1C70" w:rsidRPr="00384BA1" w:rsidRDefault="002F1C70" w:rsidP="0005183D">
      <w:pPr>
        <w:rPr>
          <w:rFonts w:ascii="Times New Roman" w:hAnsi="Times New Roman" w:cs="Times New Roman"/>
          <w:b/>
          <w:sz w:val="20"/>
          <w:szCs w:val="20"/>
        </w:rPr>
      </w:pPr>
    </w:p>
    <w:p w:rsidR="00EC2653" w:rsidRPr="00384BA1" w:rsidRDefault="00EC2653" w:rsidP="00A43D46">
      <w:pPr>
        <w:pStyle w:val="Akapitzlist"/>
        <w:numPr>
          <w:ilvl w:val="0"/>
          <w:numId w:val="7"/>
        </w:numPr>
        <w:ind w:hanging="938"/>
        <w:rPr>
          <w:rFonts w:ascii="Times New Roman" w:hAnsi="Times New Roman" w:cs="Times New Roman"/>
          <w:b/>
          <w:sz w:val="20"/>
          <w:szCs w:val="20"/>
        </w:rPr>
      </w:pPr>
      <w:r w:rsidRPr="00384BA1">
        <w:rPr>
          <w:rFonts w:ascii="Times New Roman" w:hAnsi="Times New Roman" w:cs="Times New Roman"/>
          <w:b/>
          <w:sz w:val="20"/>
          <w:szCs w:val="20"/>
        </w:rPr>
        <w:t>DZIAŁALNOŚĆ W OBSZARZE INTELIGENTNYCH SPECJALIZACJI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634"/>
      </w:tblGrid>
      <w:tr w:rsidR="00EC2653" w:rsidRPr="00384BA1" w:rsidTr="00D652A3">
        <w:tc>
          <w:tcPr>
            <w:tcW w:w="9634" w:type="dxa"/>
            <w:shd w:val="clear" w:color="auto" w:fill="auto"/>
            <w:vAlign w:val="center"/>
          </w:tcPr>
          <w:p w:rsidR="00EC2653" w:rsidRPr="00384BA1" w:rsidRDefault="000209F2" w:rsidP="00384BA1">
            <w:pPr>
              <w:ind w:left="-108" w:right="-284"/>
              <w:rPr>
                <w:rFonts w:ascii="Times New Roman" w:hAnsi="Times New Roman" w:cs="Times New Roman"/>
                <w:sz w:val="20"/>
                <w:szCs w:val="20"/>
              </w:rPr>
            </w:pPr>
            <w:r>
              <w:rPr>
                <w:rFonts w:ascii="Times New Roman" w:hAnsi="Times New Roman" w:cs="Times New Roman"/>
                <w:b/>
                <w:sz w:val="20"/>
                <w:szCs w:val="20"/>
              </w:rPr>
              <w:t>Czy</w:t>
            </w:r>
            <w:r w:rsidR="00687750">
              <w:rPr>
                <w:rFonts w:ascii="Times New Roman" w:hAnsi="Times New Roman" w:cs="Times New Roman"/>
                <w:b/>
                <w:sz w:val="20"/>
                <w:szCs w:val="20"/>
              </w:rPr>
              <w:t xml:space="preserve"> Usługodawca </w:t>
            </w:r>
            <w:r w:rsidR="00EC2653" w:rsidRPr="00384BA1">
              <w:rPr>
                <w:rFonts w:ascii="Times New Roman" w:hAnsi="Times New Roman" w:cs="Times New Roman"/>
                <w:b/>
                <w:sz w:val="20"/>
                <w:szCs w:val="20"/>
              </w:rPr>
              <w:t xml:space="preserve">działa w obszarze inteligentnych specjalizacji województwa świętokrzyskiego wskazanych </w:t>
            </w:r>
            <w:r w:rsidR="00D652A3">
              <w:rPr>
                <w:rFonts w:ascii="Times New Roman" w:hAnsi="Times New Roman" w:cs="Times New Roman"/>
                <w:b/>
                <w:sz w:val="20"/>
                <w:szCs w:val="20"/>
              </w:rPr>
              <w:t xml:space="preserve">w dokumencie: </w:t>
            </w:r>
            <w:r w:rsidR="00EC2653" w:rsidRPr="00384BA1">
              <w:rPr>
                <w:rFonts w:ascii="Times New Roman" w:hAnsi="Times New Roman" w:cs="Times New Roman"/>
                <w:b/>
                <w:sz w:val="20"/>
                <w:szCs w:val="20"/>
              </w:rPr>
              <w:t xml:space="preserve"> </w:t>
            </w:r>
            <w:r w:rsidR="00D652A3" w:rsidRPr="00D652A3">
              <w:rPr>
                <w:rFonts w:ascii="Times New Roman" w:hAnsi="Times New Roman" w:cs="Times New Roman"/>
                <w:b/>
                <w:i/>
                <w:sz w:val="20"/>
                <w:szCs w:val="20"/>
              </w:rPr>
              <w:t>Uszczegółowienie inteligentnych specjalizacji Województwa Świętokrzyskiego</w:t>
            </w:r>
            <w:r w:rsidR="00D652A3" w:rsidRPr="00D652A3">
              <w:rPr>
                <w:rFonts w:ascii="Times New Roman" w:hAnsi="Times New Roman" w:cs="Times New Roman"/>
                <w:b/>
                <w:sz w:val="20"/>
                <w:szCs w:val="20"/>
              </w:rPr>
              <w:t xml:space="preserve"> </w:t>
            </w:r>
            <w:r w:rsidR="00EC2653" w:rsidRPr="00384BA1">
              <w:rPr>
                <w:rFonts w:ascii="Times New Roman" w:hAnsi="Times New Roman" w:cs="Times New Roman"/>
                <w:sz w:val="20"/>
                <w:szCs w:val="20"/>
              </w:rPr>
              <w:t>(dostępny na</w:t>
            </w:r>
            <w:r w:rsidR="00384BA1" w:rsidRPr="00384BA1">
              <w:rPr>
                <w:rFonts w:ascii="Times New Roman" w:hAnsi="Times New Roman" w:cs="Times New Roman"/>
                <w:sz w:val="20"/>
                <w:szCs w:val="20"/>
              </w:rPr>
              <w:t xml:space="preserve"> </w:t>
            </w:r>
            <w:r w:rsidR="00EC2653" w:rsidRPr="00384BA1">
              <w:rPr>
                <w:rFonts w:ascii="Times New Roman" w:hAnsi="Times New Roman" w:cs="Times New Roman"/>
                <w:sz w:val="20"/>
                <w:szCs w:val="20"/>
              </w:rPr>
              <w:t>stronie</w:t>
            </w:r>
            <w:r w:rsidR="00384BA1" w:rsidRPr="00384BA1">
              <w:rPr>
                <w:rFonts w:ascii="Times New Roman" w:hAnsi="Times New Roman" w:cs="Times New Roman"/>
                <w:sz w:val="20"/>
                <w:szCs w:val="20"/>
              </w:rPr>
              <w:t xml:space="preserve"> internetowej: </w:t>
            </w:r>
            <w:hyperlink r:id="rId9" w:history="1">
              <w:r w:rsidR="003616EB" w:rsidRPr="009E2559">
                <w:rPr>
                  <w:rStyle w:val="Hipercze"/>
                  <w:rFonts w:ascii="Times New Roman" w:hAnsi="Times New Roman" w:cs="Times New Roman"/>
                  <w:sz w:val="20"/>
                  <w:szCs w:val="20"/>
                </w:rPr>
                <w:t>http://www.spinno.pl/inteligentne-specjalizacje/uszczegolowienie-inteligentnych-specjalizacji-wojewodztwa-swietokrzyskiego</w:t>
              </w:r>
            </w:hyperlink>
            <w:r w:rsidR="00EC2653" w:rsidRPr="00384BA1">
              <w:rPr>
                <w:rFonts w:ascii="Times New Roman" w:hAnsi="Times New Roman" w:cs="Times New Roman"/>
                <w:sz w:val="20"/>
                <w:szCs w:val="20"/>
              </w:rPr>
              <w:t>)</w:t>
            </w:r>
            <w:r w:rsidR="003616EB">
              <w:rPr>
                <w:rFonts w:ascii="Times New Roman" w:hAnsi="Times New Roman" w:cs="Times New Roman"/>
                <w:sz w:val="20"/>
                <w:szCs w:val="20"/>
              </w:rPr>
              <w:t xml:space="preserve"> </w:t>
            </w:r>
            <w:r w:rsidR="000340F0">
              <w:rPr>
                <w:rFonts w:ascii="Times New Roman" w:hAnsi="Times New Roman" w:cs="Times New Roman"/>
                <w:sz w:val="20"/>
                <w:szCs w:val="20"/>
              </w:rPr>
              <w:t>?</w:t>
            </w:r>
          </w:p>
          <w:p w:rsidR="00EC2653" w:rsidRPr="00384BA1" w:rsidRDefault="00EC2653" w:rsidP="00733C22">
            <w:pPr>
              <w:ind w:left="-108" w:right="-284"/>
              <w:rPr>
                <w:rFonts w:ascii="Times New Roman" w:hAnsi="Times New Roman" w:cs="Times New Roman"/>
                <w:b/>
                <w:sz w:val="20"/>
                <w:szCs w:val="20"/>
              </w:rPr>
            </w:pPr>
            <w:r w:rsidRPr="00384BA1">
              <w:rPr>
                <w:rFonts w:ascii="Times New Roman" w:hAnsi="Times New Roman" w:cs="Times New Roman"/>
                <w:b/>
                <w:sz w:val="20"/>
                <w:szCs w:val="20"/>
              </w:rPr>
              <w:t>Jeżeli tak, proszę zaznaczyć właściwe n/w pozycj</w:t>
            </w:r>
            <w:r w:rsidR="00384BA1" w:rsidRPr="00384BA1">
              <w:rPr>
                <w:rFonts w:ascii="Times New Roman" w:hAnsi="Times New Roman" w:cs="Times New Roman"/>
                <w:b/>
                <w:sz w:val="20"/>
                <w:szCs w:val="20"/>
              </w:rPr>
              <w:t>ę</w:t>
            </w:r>
          </w:p>
        </w:tc>
      </w:tr>
      <w:tr w:rsidR="00EC2653" w:rsidRPr="00384BA1" w:rsidTr="00D652A3">
        <w:tc>
          <w:tcPr>
            <w:tcW w:w="9634" w:type="dxa"/>
            <w:shd w:val="clear" w:color="auto" w:fill="auto"/>
            <w:vAlign w:val="center"/>
          </w:tcPr>
          <w:p w:rsidR="00EC2653" w:rsidRPr="00384BA1" w:rsidRDefault="00EC2653" w:rsidP="00733C22">
            <w:pPr>
              <w:ind w:right="-285"/>
              <w:rPr>
                <w:rFonts w:ascii="Times New Roman" w:hAnsi="Times New Roman" w:cs="Times New Roman"/>
                <w:sz w:val="20"/>
                <w:szCs w:val="20"/>
              </w:rPr>
            </w:pPr>
            <w:r w:rsidRPr="00384BA1">
              <w:rPr>
                <w:rFonts w:ascii="Times New Roman" w:hAnsi="Times New Roman" w:cs="Times New Roman"/>
                <w:b/>
                <w:sz w:val="20"/>
                <w:szCs w:val="20"/>
              </w:rPr>
              <w:sym w:font="Symbol" w:char="F098"/>
            </w:r>
            <w:r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Zasobooszczędne budownictwo</w:t>
            </w:r>
          </w:p>
        </w:tc>
      </w:tr>
      <w:tr w:rsidR="00EC2653" w:rsidRPr="00384BA1" w:rsidTr="00D652A3">
        <w:tc>
          <w:tcPr>
            <w:tcW w:w="9634" w:type="dxa"/>
            <w:shd w:val="clear" w:color="auto" w:fill="auto"/>
            <w:vAlign w:val="center"/>
          </w:tcPr>
          <w:p w:rsidR="00EC2653" w:rsidRPr="00384BA1" w:rsidRDefault="00EC2653" w:rsidP="00733C22">
            <w:pPr>
              <w:ind w:right="-285"/>
              <w:rPr>
                <w:rFonts w:ascii="Times New Roman" w:hAnsi="Times New Roman" w:cs="Times New Roman"/>
                <w:sz w:val="20"/>
                <w:szCs w:val="20"/>
              </w:rPr>
            </w:pPr>
            <w:r w:rsidRPr="00384BA1">
              <w:rPr>
                <w:rFonts w:ascii="Times New Roman" w:hAnsi="Times New Roman" w:cs="Times New Roman"/>
                <w:b/>
                <w:sz w:val="20"/>
                <w:szCs w:val="20"/>
              </w:rPr>
              <w:sym w:font="Symbol" w:char="F098"/>
            </w:r>
            <w:r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Przemysł metalowo-odlewniczy</w:t>
            </w:r>
          </w:p>
        </w:tc>
      </w:tr>
      <w:tr w:rsidR="00EC2653" w:rsidRPr="00384BA1" w:rsidTr="00D652A3">
        <w:tc>
          <w:tcPr>
            <w:tcW w:w="9634" w:type="dxa"/>
            <w:shd w:val="clear" w:color="auto" w:fill="auto"/>
            <w:vAlign w:val="center"/>
          </w:tcPr>
          <w:p w:rsidR="00EC2653" w:rsidRPr="00384BA1" w:rsidRDefault="00EC2653" w:rsidP="00733C22">
            <w:pPr>
              <w:ind w:right="-285"/>
              <w:rPr>
                <w:rFonts w:ascii="Times New Roman" w:hAnsi="Times New Roman" w:cs="Times New Roman"/>
                <w:sz w:val="20"/>
                <w:szCs w:val="20"/>
              </w:rPr>
            </w:pPr>
            <w:r w:rsidRPr="00384BA1">
              <w:rPr>
                <w:rFonts w:ascii="Times New Roman" w:hAnsi="Times New Roman" w:cs="Times New Roman"/>
                <w:b/>
                <w:sz w:val="20"/>
                <w:szCs w:val="20"/>
              </w:rPr>
              <w:sym w:font="Symbol" w:char="F098"/>
            </w:r>
            <w:r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Nowoczesne rolnictwo i przetwórstwo spożywcze</w:t>
            </w:r>
          </w:p>
        </w:tc>
      </w:tr>
      <w:tr w:rsidR="00EC2653" w:rsidRPr="00384BA1" w:rsidTr="00D652A3">
        <w:tc>
          <w:tcPr>
            <w:tcW w:w="9634" w:type="dxa"/>
            <w:shd w:val="clear" w:color="auto" w:fill="auto"/>
            <w:vAlign w:val="center"/>
          </w:tcPr>
          <w:p w:rsidR="00EC2653" w:rsidRPr="00384BA1" w:rsidRDefault="00EC2653" w:rsidP="00733C22">
            <w:pPr>
              <w:ind w:right="-285"/>
              <w:rPr>
                <w:rFonts w:ascii="Times New Roman" w:hAnsi="Times New Roman" w:cs="Times New Roman"/>
                <w:sz w:val="20"/>
                <w:szCs w:val="20"/>
              </w:rPr>
            </w:pPr>
            <w:r w:rsidRPr="00384BA1">
              <w:rPr>
                <w:rFonts w:ascii="Times New Roman" w:hAnsi="Times New Roman" w:cs="Times New Roman"/>
                <w:b/>
                <w:sz w:val="20"/>
                <w:szCs w:val="20"/>
              </w:rPr>
              <w:sym w:font="Symbol" w:char="F098"/>
            </w:r>
            <w:r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Turystyka zdrowotna i prozdrowotna</w:t>
            </w:r>
          </w:p>
        </w:tc>
      </w:tr>
      <w:tr w:rsidR="00EC2653" w:rsidRPr="00384BA1" w:rsidTr="00D652A3">
        <w:tc>
          <w:tcPr>
            <w:tcW w:w="9634" w:type="dxa"/>
            <w:shd w:val="clear" w:color="auto" w:fill="auto"/>
            <w:vAlign w:val="center"/>
          </w:tcPr>
          <w:p w:rsidR="00EC2653" w:rsidRPr="00384BA1" w:rsidRDefault="002718AF" w:rsidP="00733C22">
            <w:pPr>
              <w:ind w:right="-285"/>
              <w:rPr>
                <w:rFonts w:ascii="Times New Roman" w:hAnsi="Times New Roman" w:cs="Times New Roman"/>
                <w:sz w:val="20"/>
                <w:szCs w:val="20"/>
              </w:rPr>
            </w:pPr>
            <w:r>
              <w:rPr>
                <w:rFonts w:ascii="Times New Roman" w:hAnsi="Times New Roman" w:cs="Times New Roman"/>
                <w:b/>
                <w:sz w:val="20"/>
                <w:szCs w:val="20"/>
              </w:rPr>
              <w:sym w:font="Wingdings" w:char="F0FE"/>
            </w:r>
            <w:r w:rsidR="00EC2653"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Technologie informacyjno-komunikacyjne</w:t>
            </w:r>
          </w:p>
        </w:tc>
      </w:tr>
      <w:tr w:rsidR="00EC2653" w:rsidRPr="00384BA1" w:rsidTr="00D652A3">
        <w:tc>
          <w:tcPr>
            <w:tcW w:w="9634" w:type="dxa"/>
            <w:shd w:val="clear" w:color="auto" w:fill="auto"/>
            <w:vAlign w:val="center"/>
          </w:tcPr>
          <w:p w:rsidR="00EC2653" w:rsidRPr="00384BA1" w:rsidRDefault="00EC2653" w:rsidP="00733C22">
            <w:pPr>
              <w:ind w:right="-285"/>
              <w:rPr>
                <w:rFonts w:ascii="Times New Roman" w:hAnsi="Times New Roman" w:cs="Times New Roman"/>
                <w:sz w:val="20"/>
                <w:szCs w:val="20"/>
              </w:rPr>
            </w:pPr>
            <w:r w:rsidRPr="00384BA1">
              <w:rPr>
                <w:rFonts w:ascii="Times New Roman" w:hAnsi="Times New Roman" w:cs="Times New Roman"/>
                <w:b/>
                <w:sz w:val="20"/>
                <w:szCs w:val="20"/>
              </w:rPr>
              <w:sym w:font="Symbol" w:char="F098"/>
            </w:r>
            <w:r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Branża targowo-kongresowa</w:t>
            </w:r>
          </w:p>
        </w:tc>
      </w:tr>
      <w:tr w:rsidR="00EC2653" w:rsidRPr="00384BA1" w:rsidTr="00D652A3">
        <w:tc>
          <w:tcPr>
            <w:tcW w:w="9634" w:type="dxa"/>
            <w:shd w:val="clear" w:color="auto" w:fill="auto"/>
            <w:vAlign w:val="center"/>
          </w:tcPr>
          <w:p w:rsidR="00EC2653" w:rsidRPr="00384BA1" w:rsidRDefault="00EC2653" w:rsidP="00733C22">
            <w:pPr>
              <w:ind w:right="-285"/>
              <w:rPr>
                <w:rFonts w:ascii="Times New Roman" w:hAnsi="Times New Roman" w:cs="Times New Roman"/>
                <w:sz w:val="20"/>
                <w:szCs w:val="20"/>
              </w:rPr>
            </w:pPr>
            <w:r w:rsidRPr="00384BA1">
              <w:rPr>
                <w:rFonts w:ascii="Times New Roman" w:hAnsi="Times New Roman" w:cs="Times New Roman"/>
                <w:b/>
                <w:sz w:val="20"/>
                <w:szCs w:val="20"/>
              </w:rPr>
              <w:sym w:font="Symbol" w:char="F098"/>
            </w:r>
            <w:r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Zrównoważony rozwój energetyczny</w:t>
            </w:r>
          </w:p>
        </w:tc>
      </w:tr>
      <w:tr w:rsidR="00EC2653" w:rsidRPr="00384BA1" w:rsidTr="00D652A3">
        <w:tc>
          <w:tcPr>
            <w:tcW w:w="9634" w:type="dxa"/>
            <w:shd w:val="clear" w:color="auto" w:fill="auto"/>
            <w:vAlign w:val="center"/>
          </w:tcPr>
          <w:p w:rsidR="00384BA1" w:rsidRDefault="00EC2653" w:rsidP="00733C22">
            <w:pPr>
              <w:ind w:right="-285"/>
              <w:rPr>
                <w:rFonts w:ascii="Times New Roman" w:hAnsi="Times New Roman" w:cs="Times New Roman"/>
                <w:b/>
                <w:sz w:val="20"/>
                <w:szCs w:val="20"/>
              </w:rPr>
            </w:pPr>
            <w:r w:rsidRPr="00384BA1">
              <w:rPr>
                <w:rFonts w:ascii="Times New Roman" w:hAnsi="Times New Roman" w:cs="Times New Roman"/>
                <w:b/>
                <w:sz w:val="20"/>
                <w:szCs w:val="20"/>
              </w:rPr>
              <w:t>Należy uzasadnić dokonany wybór</w:t>
            </w:r>
            <w:r w:rsidR="00BB2FE3">
              <w:rPr>
                <w:rFonts w:ascii="Times New Roman" w:hAnsi="Times New Roman" w:cs="Times New Roman"/>
                <w:b/>
                <w:sz w:val="20"/>
                <w:szCs w:val="20"/>
              </w:rPr>
              <w:t xml:space="preserve"> (do 3 000 znaków)</w:t>
            </w:r>
            <w:r w:rsidRPr="00384BA1">
              <w:rPr>
                <w:rFonts w:ascii="Times New Roman" w:hAnsi="Times New Roman" w:cs="Times New Roman"/>
                <w:b/>
                <w:sz w:val="20"/>
                <w:szCs w:val="20"/>
              </w:rPr>
              <w:t>:</w:t>
            </w:r>
          </w:p>
          <w:p w:rsidR="00B92B32" w:rsidRDefault="00924031" w:rsidP="00B92B32">
            <w:pPr>
              <w:jc w:val="both"/>
              <w:rPr>
                <w:rFonts w:cstheme="minorHAnsi"/>
                <w:sz w:val="20"/>
                <w:szCs w:val="20"/>
              </w:rPr>
            </w:pPr>
            <w:r w:rsidRPr="00924031">
              <w:rPr>
                <w:rFonts w:cstheme="minorHAnsi"/>
                <w:sz w:val="20"/>
                <w:szCs w:val="20"/>
              </w:rPr>
              <w:t>Kielecki Park Technologiczny pełni rolę koordynatora Konsorcjum ds. inteligentnej specjalizacji pn. technologie informacyjno-komunikacyjne, powołanego przez Zarząd województwa świętokrzyskiego.</w:t>
            </w:r>
            <w:r w:rsidR="00C62237">
              <w:rPr>
                <w:rFonts w:cstheme="minorHAnsi"/>
                <w:sz w:val="20"/>
                <w:szCs w:val="20"/>
              </w:rPr>
              <w:t xml:space="preserve"> W zakresie infrastruktury lokalowej i technicznej związanej bezpośrednio z działalnością w zakresie technologii informacyjno-komunikacyjnych KPT dysponuje:</w:t>
            </w:r>
          </w:p>
          <w:p w:rsidR="00384BA1" w:rsidRDefault="00B92B32" w:rsidP="00B92B32">
            <w:pPr>
              <w:pStyle w:val="Akapitzlist"/>
              <w:numPr>
                <w:ilvl w:val="0"/>
                <w:numId w:val="22"/>
              </w:numPr>
              <w:ind w:left="284" w:hanging="284"/>
              <w:jc w:val="both"/>
              <w:rPr>
                <w:rFonts w:cstheme="minorHAnsi"/>
                <w:sz w:val="20"/>
                <w:szCs w:val="20"/>
              </w:rPr>
            </w:pPr>
            <w:r w:rsidRPr="00B92B32">
              <w:rPr>
                <w:rFonts w:cstheme="minorHAnsi"/>
                <w:sz w:val="20"/>
                <w:szCs w:val="20"/>
              </w:rPr>
              <w:t>Laboratoria IT/ICT - Na poziomie -1 inkubatora SKYE INC zostały zamontowane zestawy laboratoryjne, na których, w ramach Akademii CISCO, można realizować ścieżkę szkoleniową CCNA (Cisco Certified Networking Associate) również nakierowaną na bezpieczeństwo sieci ścieżkę CCNA Security oraz dla bardziej zaawansowanych kurs CCNP (Cisco Certified Security Professional). Szkolenia przeznaczone są dla specjalistów IT, studentów kierunków technicznych i wszystkich osób zainteresowanych sieciami i bezpieczeństwem sieciowym. W laboratorium są również zawansowane analizatory sieci, testery Gigabit Ethernet i emulatory sieci. Sala wyposażona jest w 16 miejsc szkoleniowych z profesjonalnymi stacjami roboczymi, tablicami i rzutnikiem multimedialnym, zapewniając tym samym komfort dla uczestników kursów. Ponadto do dyspozycji Kielecki Park Technologiczny oddaje dwie wyposażone w komputery i oprogramowanie sale szkoleniowe, gdzie prowadzone będą prace między innymi nad prototypami aplikacji mobilnych, testowane będą obciążenia aplikacji serwerowych, tworzone multimedia oraz grafiki komputerowe 2D i 3D.</w:t>
            </w:r>
          </w:p>
          <w:p w:rsidR="00B92B32" w:rsidRDefault="00B92B32" w:rsidP="00B92B32">
            <w:pPr>
              <w:pStyle w:val="Akapitzlist"/>
              <w:ind w:left="284"/>
              <w:jc w:val="both"/>
              <w:rPr>
                <w:rFonts w:cstheme="minorHAnsi"/>
                <w:sz w:val="20"/>
                <w:szCs w:val="20"/>
              </w:rPr>
            </w:pPr>
          </w:p>
          <w:p w:rsidR="00B92B32" w:rsidRDefault="00B92B32" w:rsidP="00FD0E04">
            <w:pPr>
              <w:pStyle w:val="Akapitzlist"/>
              <w:numPr>
                <w:ilvl w:val="0"/>
                <w:numId w:val="22"/>
              </w:numPr>
              <w:ind w:left="284" w:hanging="284"/>
              <w:jc w:val="both"/>
              <w:rPr>
                <w:rFonts w:cstheme="minorHAnsi"/>
                <w:sz w:val="20"/>
                <w:szCs w:val="20"/>
              </w:rPr>
            </w:pPr>
            <w:r w:rsidRPr="00B92B32">
              <w:rPr>
                <w:rFonts w:cstheme="minorHAnsi"/>
                <w:sz w:val="20"/>
                <w:szCs w:val="20"/>
              </w:rPr>
              <w:t>Centrum Druku 3D KPT - To miejsce, w którym świadczone są profesjonalne usługi projektowania oraz drukowania produktów w technologii 3D. Centrum oferuje tworzenie prototypów, produkcję krótkoseryjną, a także obróbkę wydrukowanych modeli. Centrum świadczy usługi: projektowania, pr</w:t>
            </w:r>
            <w:r w:rsidR="00FD0E04">
              <w:rPr>
                <w:rFonts w:cstheme="minorHAnsi"/>
                <w:sz w:val="20"/>
                <w:szCs w:val="20"/>
              </w:rPr>
              <w:t>ototypowania i druku seryjnego.</w:t>
            </w:r>
          </w:p>
          <w:p w:rsidR="000378B0" w:rsidRPr="000378B0" w:rsidRDefault="000378B0" w:rsidP="000378B0">
            <w:pPr>
              <w:pStyle w:val="Akapitzlist"/>
              <w:rPr>
                <w:rFonts w:cstheme="minorHAnsi"/>
                <w:sz w:val="20"/>
                <w:szCs w:val="20"/>
              </w:rPr>
            </w:pPr>
          </w:p>
          <w:p w:rsidR="000378B0" w:rsidRDefault="000378B0" w:rsidP="000378B0">
            <w:pPr>
              <w:pStyle w:val="Akapitzlist"/>
              <w:numPr>
                <w:ilvl w:val="0"/>
                <w:numId w:val="22"/>
              </w:numPr>
              <w:ind w:left="284" w:hanging="284"/>
              <w:jc w:val="both"/>
              <w:rPr>
                <w:rFonts w:cstheme="minorHAnsi"/>
                <w:sz w:val="20"/>
                <w:szCs w:val="20"/>
              </w:rPr>
            </w:pPr>
            <w:r w:rsidRPr="000378B0">
              <w:rPr>
                <w:rFonts w:cstheme="minorHAnsi"/>
                <w:sz w:val="20"/>
                <w:szCs w:val="20"/>
              </w:rPr>
              <w:t>Serwerownia Kieleckiego Parku Technologicznego</w:t>
            </w:r>
            <w:r>
              <w:rPr>
                <w:rFonts w:cstheme="minorHAnsi"/>
                <w:sz w:val="20"/>
                <w:szCs w:val="20"/>
              </w:rPr>
              <w:t xml:space="preserve"> - </w:t>
            </w:r>
            <w:r w:rsidRPr="000378B0">
              <w:rPr>
                <w:rFonts w:cstheme="minorHAnsi"/>
                <w:sz w:val="20"/>
                <w:szCs w:val="20"/>
              </w:rPr>
              <w:t xml:space="preserve">to pomieszczenie o powierzchni ponad 100m2 spełniające </w:t>
            </w:r>
            <w:r w:rsidRPr="000378B0">
              <w:rPr>
                <w:rFonts w:cstheme="minorHAnsi"/>
                <w:sz w:val="20"/>
                <w:szCs w:val="20"/>
              </w:rPr>
              <w:lastRenderedPageBreak/>
              <w:t>współczesne standardy w zakresie zapewniania optymalnych warunków pracy urządzeń elektronicznych.</w:t>
            </w:r>
            <w:r>
              <w:rPr>
                <w:rFonts w:cstheme="minorHAnsi"/>
                <w:sz w:val="20"/>
                <w:szCs w:val="20"/>
              </w:rPr>
              <w:t xml:space="preserve"> </w:t>
            </w:r>
            <w:r w:rsidRPr="000378B0">
              <w:rPr>
                <w:rFonts w:cstheme="minorHAnsi"/>
                <w:sz w:val="20"/>
                <w:szCs w:val="20"/>
              </w:rPr>
              <w:t>Serwerownia wyposażona jest między innymi w:</w:t>
            </w:r>
            <w:r>
              <w:rPr>
                <w:rFonts w:cstheme="minorHAnsi"/>
                <w:sz w:val="20"/>
                <w:szCs w:val="20"/>
              </w:rPr>
              <w:t xml:space="preserve"> </w:t>
            </w:r>
            <w:r w:rsidR="00CF4983">
              <w:rPr>
                <w:rFonts w:cstheme="minorHAnsi"/>
                <w:sz w:val="20"/>
                <w:szCs w:val="20"/>
              </w:rPr>
              <w:t>klimatyzację precyzyjną</w:t>
            </w:r>
            <w:r w:rsidRPr="000378B0">
              <w:rPr>
                <w:rFonts w:cstheme="minorHAnsi"/>
                <w:sz w:val="20"/>
                <w:szCs w:val="20"/>
              </w:rPr>
              <w:t>; podtrzymanie zasilania umożliwiające dalszą pracę urządzeń w momencie zaniku zasilania;</w:t>
            </w:r>
            <w:r>
              <w:rPr>
                <w:rFonts w:cstheme="minorHAnsi"/>
                <w:sz w:val="20"/>
                <w:szCs w:val="20"/>
              </w:rPr>
              <w:t xml:space="preserve"> </w:t>
            </w:r>
            <w:r w:rsidRPr="000378B0">
              <w:rPr>
                <w:rFonts w:cstheme="minorHAnsi"/>
                <w:sz w:val="20"/>
                <w:szCs w:val="20"/>
              </w:rPr>
              <w:t>zabezpieczenia fizyczne przed nieautoryzowanym dostępem;</w:t>
            </w:r>
            <w:r>
              <w:rPr>
                <w:rFonts w:cstheme="minorHAnsi"/>
                <w:sz w:val="20"/>
                <w:szCs w:val="20"/>
              </w:rPr>
              <w:t xml:space="preserve"> </w:t>
            </w:r>
            <w:r w:rsidRPr="000378B0">
              <w:rPr>
                <w:rFonts w:cstheme="minorHAnsi"/>
                <w:sz w:val="20"/>
                <w:szCs w:val="20"/>
              </w:rPr>
              <w:t>szybkie, symetryczne łącze internetowe;</w:t>
            </w:r>
            <w:r>
              <w:rPr>
                <w:rFonts w:cstheme="minorHAnsi"/>
                <w:sz w:val="20"/>
                <w:szCs w:val="20"/>
              </w:rPr>
              <w:t xml:space="preserve"> </w:t>
            </w:r>
            <w:r w:rsidRPr="000378B0">
              <w:rPr>
                <w:rFonts w:cstheme="minorHAnsi"/>
                <w:sz w:val="20"/>
                <w:szCs w:val="20"/>
              </w:rPr>
              <w:t>kontrolę dostępu oraz całodobowy monitoring zarówno wnętrza serwerowni jak i obszarów dookoła</w:t>
            </w:r>
            <w:r>
              <w:rPr>
                <w:rFonts w:cstheme="minorHAnsi"/>
                <w:sz w:val="20"/>
                <w:szCs w:val="20"/>
              </w:rPr>
              <w:t xml:space="preserve">; </w:t>
            </w:r>
            <w:r w:rsidRPr="000378B0">
              <w:rPr>
                <w:rFonts w:cstheme="minorHAnsi"/>
                <w:sz w:val="20"/>
                <w:szCs w:val="20"/>
              </w:rPr>
              <w:t xml:space="preserve"> gazowy system przeciwpożarowy umożliwiający szybkie ugaszenie pożaru, w sposób nie zakłócający pracy sprzętu elektronicznego.</w:t>
            </w:r>
          </w:p>
          <w:p w:rsidR="000378B0" w:rsidRPr="000378B0" w:rsidRDefault="000378B0" w:rsidP="000378B0">
            <w:pPr>
              <w:pStyle w:val="Akapitzlist"/>
              <w:rPr>
                <w:rFonts w:cstheme="minorHAnsi"/>
                <w:sz w:val="20"/>
                <w:szCs w:val="20"/>
              </w:rPr>
            </w:pPr>
          </w:p>
          <w:p w:rsidR="000378B0" w:rsidRPr="00CF4983" w:rsidRDefault="000378B0" w:rsidP="00CF4983">
            <w:pPr>
              <w:pStyle w:val="Akapitzlist"/>
              <w:ind w:left="284"/>
              <w:jc w:val="both"/>
              <w:rPr>
                <w:rFonts w:cstheme="minorHAnsi"/>
                <w:sz w:val="20"/>
                <w:szCs w:val="20"/>
              </w:rPr>
            </w:pPr>
            <w:r w:rsidRPr="000378B0">
              <w:rPr>
                <w:rFonts w:cstheme="minorHAnsi"/>
                <w:sz w:val="20"/>
                <w:szCs w:val="20"/>
              </w:rPr>
              <w:t>Do dyspozycji lokatorów przeznacz</w:t>
            </w:r>
            <w:r>
              <w:rPr>
                <w:rFonts w:cstheme="minorHAnsi"/>
                <w:sz w:val="20"/>
                <w:szCs w:val="20"/>
              </w:rPr>
              <w:t>ono</w:t>
            </w:r>
            <w:r w:rsidRPr="000378B0">
              <w:rPr>
                <w:rFonts w:cstheme="minorHAnsi"/>
                <w:sz w:val="20"/>
                <w:szCs w:val="20"/>
              </w:rPr>
              <w:t xml:space="preserve"> zaawansowane systemy informatyczne, na które składają się między innymi:</w:t>
            </w:r>
            <w:r>
              <w:rPr>
                <w:rFonts w:cstheme="minorHAnsi"/>
                <w:sz w:val="20"/>
                <w:szCs w:val="20"/>
              </w:rPr>
              <w:t xml:space="preserve"> </w:t>
            </w:r>
            <w:r w:rsidRPr="000378B0">
              <w:rPr>
                <w:rFonts w:cstheme="minorHAnsi"/>
                <w:sz w:val="20"/>
                <w:szCs w:val="20"/>
              </w:rPr>
              <w:t xml:space="preserve"> prywatna chmura licząca ponad 100 rdzeni obliczeniowych, obsługiwana przez zaawansowane oprogramowanie do wirtualizacji;</w:t>
            </w:r>
            <w:r w:rsidR="00CF4983">
              <w:rPr>
                <w:rFonts w:cstheme="minorHAnsi"/>
                <w:sz w:val="20"/>
                <w:szCs w:val="20"/>
              </w:rPr>
              <w:t xml:space="preserve"> </w:t>
            </w:r>
            <w:r w:rsidRPr="00CF4983">
              <w:rPr>
                <w:rFonts w:cstheme="minorHAnsi"/>
                <w:sz w:val="20"/>
                <w:szCs w:val="20"/>
              </w:rPr>
              <w:t>sieć Storage Area Network (SAN);</w:t>
            </w:r>
            <w:r w:rsidR="00CF4983">
              <w:rPr>
                <w:rFonts w:cstheme="minorHAnsi"/>
                <w:sz w:val="20"/>
                <w:szCs w:val="20"/>
              </w:rPr>
              <w:t xml:space="preserve"> </w:t>
            </w:r>
            <w:r w:rsidRPr="00CF4983">
              <w:rPr>
                <w:rFonts w:cstheme="minorHAnsi"/>
                <w:sz w:val="20"/>
                <w:szCs w:val="20"/>
              </w:rPr>
              <w:t>macierz dyskowa dedykowana pod bazy danych;</w:t>
            </w:r>
            <w:r w:rsidR="00CF4983">
              <w:rPr>
                <w:rFonts w:cstheme="minorHAnsi"/>
                <w:sz w:val="20"/>
                <w:szCs w:val="20"/>
              </w:rPr>
              <w:t xml:space="preserve"> </w:t>
            </w:r>
            <w:r w:rsidRPr="00CF4983">
              <w:rPr>
                <w:rFonts w:cstheme="minorHAnsi"/>
                <w:sz w:val="20"/>
                <w:szCs w:val="20"/>
              </w:rPr>
              <w:t>macierz dyskowa dedykowana pod pliki zbudowana z dysków Near Line SAS 7200 obrotów na minutę połączonych w RAID 5; macierze dyskowe na potrzeby wykonywania kopii zapasowych;</w:t>
            </w:r>
            <w:r w:rsidR="00CF4983">
              <w:rPr>
                <w:rFonts w:cstheme="minorHAnsi"/>
                <w:sz w:val="20"/>
                <w:szCs w:val="20"/>
              </w:rPr>
              <w:t xml:space="preserve"> </w:t>
            </w:r>
            <w:r w:rsidRPr="00CF4983">
              <w:rPr>
                <w:rFonts w:cstheme="minorHAnsi"/>
                <w:sz w:val="20"/>
                <w:szCs w:val="20"/>
              </w:rPr>
              <w:t>podtrzymanie zasilania za pomocą zasilaczy awaryjnych UPS.</w:t>
            </w:r>
          </w:p>
        </w:tc>
      </w:tr>
    </w:tbl>
    <w:p w:rsidR="001D1A79" w:rsidRPr="001D1A79" w:rsidRDefault="001D1A79" w:rsidP="001D1A79">
      <w:pPr>
        <w:rPr>
          <w:rFonts w:ascii="Times New Roman" w:hAnsi="Times New Roman" w:cs="Times New Roman"/>
          <w:b/>
          <w:sz w:val="20"/>
          <w:szCs w:val="20"/>
        </w:rPr>
      </w:pPr>
    </w:p>
    <w:p w:rsidR="00B84026" w:rsidRPr="00D827C5" w:rsidRDefault="00901A6D" w:rsidP="00EA57D7">
      <w:pPr>
        <w:pStyle w:val="NormalnyWeb"/>
        <w:spacing w:line="312" w:lineRule="atLeast"/>
        <w:jc w:val="center"/>
        <w:rPr>
          <w:b/>
          <w:color w:val="000000"/>
        </w:rPr>
      </w:pPr>
      <w:bookmarkStart w:id="3" w:name="_GoBack"/>
      <w:bookmarkEnd w:id="3"/>
      <w:r w:rsidRPr="00D827C5">
        <w:rPr>
          <w:b/>
          <w:color w:val="000000"/>
        </w:rPr>
        <w:t>OŚWIADCZENIA</w:t>
      </w:r>
      <w:r w:rsidR="00B84026" w:rsidRPr="00D827C5">
        <w:t xml:space="preserve">  </w:t>
      </w:r>
    </w:p>
    <w:p w:rsidR="008A4AAF" w:rsidRPr="00D827C5" w:rsidRDefault="00673BEC" w:rsidP="008A4AAF">
      <w:pPr>
        <w:pStyle w:val="NormalnyWeb"/>
        <w:numPr>
          <w:ilvl w:val="0"/>
          <w:numId w:val="13"/>
        </w:numPr>
        <w:spacing w:line="312" w:lineRule="atLeast"/>
        <w:ind w:left="1077"/>
        <w:jc w:val="both"/>
        <w:rPr>
          <w:color w:val="000000"/>
          <w:sz w:val="22"/>
          <w:szCs w:val="22"/>
        </w:rPr>
      </w:pPr>
      <w:r>
        <w:rPr>
          <w:b/>
          <w:sz w:val="20"/>
          <w:szCs w:val="20"/>
        </w:rPr>
        <w:sym w:font="Wingdings" w:char="F0FE"/>
      </w:r>
      <w:r w:rsidR="00742F9A">
        <w:rPr>
          <w:b/>
          <w:sz w:val="36"/>
          <w:szCs w:val="36"/>
        </w:rPr>
        <w:t xml:space="preserve"> </w:t>
      </w:r>
      <w:r w:rsidR="008A4AAF" w:rsidRPr="00D827C5">
        <w:rPr>
          <w:color w:val="000000"/>
          <w:sz w:val="22"/>
          <w:szCs w:val="22"/>
        </w:rPr>
        <w:t>Oświadczam, że spełniam definicję Usługodawcy od co najmniej 12 miesięcy.</w:t>
      </w:r>
    </w:p>
    <w:p w:rsidR="00B84026" w:rsidRPr="00D827C5" w:rsidRDefault="00673BEC" w:rsidP="00673BEC">
      <w:pPr>
        <w:pStyle w:val="NormalnyWeb"/>
        <w:numPr>
          <w:ilvl w:val="0"/>
          <w:numId w:val="13"/>
        </w:numPr>
        <w:spacing w:before="240" w:beforeAutospacing="0" w:line="312" w:lineRule="atLeast"/>
        <w:ind w:left="1077"/>
        <w:jc w:val="both"/>
        <w:rPr>
          <w:color w:val="000000"/>
          <w:sz w:val="22"/>
          <w:szCs w:val="22"/>
        </w:rPr>
      </w:pPr>
      <w:r>
        <w:rPr>
          <w:b/>
          <w:sz w:val="20"/>
          <w:szCs w:val="20"/>
        </w:rPr>
        <w:sym w:font="Wingdings" w:char="F0FE"/>
      </w:r>
      <w:r w:rsidR="00742F9A">
        <w:rPr>
          <w:b/>
          <w:sz w:val="36"/>
          <w:szCs w:val="36"/>
        </w:rPr>
        <w:t xml:space="preserve"> </w:t>
      </w:r>
      <w:r w:rsidR="00B268B7" w:rsidRPr="00D827C5">
        <w:rPr>
          <w:color w:val="000000"/>
          <w:sz w:val="22"/>
          <w:szCs w:val="22"/>
        </w:rPr>
        <w:t xml:space="preserve">Oświadczam, że </w:t>
      </w:r>
      <w:r w:rsidR="00284B13" w:rsidRPr="00D827C5">
        <w:rPr>
          <w:color w:val="000000"/>
          <w:sz w:val="22"/>
          <w:szCs w:val="22"/>
        </w:rPr>
        <w:t>Usługodawca</w:t>
      </w:r>
      <w:r w:rsidR="00C447A5" w:rsidRPr="00D827C5">
        <w:rPr>
          <w:color w:val="000000"/>
          <w:sz w:val="22"/>
          <w:szCs w:val="22"/>
        </w:rPr>
        <w:t xml:space="preserve"> jest w posiadaniu strategii biznesowej, </w:t>
      </w:r>
      <w:r w:rsidR="008A4AAF" w:rsidRPr="00D827C5">
        <w:rPr>
          <w:sz w:val="22"/>
          <w:szCs w:val="22"/>
        </w:rPr>
        <w:t>i/lub planu działań uwzględniający realizację usług doradczych dla MŚP</w:t>
      </w:r>
    </w:p>
    <w:p w:rsidR="008A4AAF" w:rsidRPr="00D827C5" w:rsidRDefault="00673BEC" w:rsidP="00673BEC">
      <w:pPr>
        <w:pStyle w:val="NormalnyWeb"/>
        <w:numPr>
          <w:ilvl w:val="0"/>
          <w:numId w:val="13"/>
        </w:numPr>
        <w:spacing w:before="240" w:beforeAutospacing="0" w:after="0" w:afterAutospacing="0" w:line="276" w:lineRule="auto"/>
        <w:ind w:left="1077"/>
        <w:jc w:val="both"/>
        <w:rPr>
          <w:color w:val="000000"/>
          <w:sz w:val="22"/>
          <w:szCs w:val="22"/>
        </w:rPr>
      </w:pPr>
      <w:r>
        <w:rPr>
          <w:b/>
          <w:sz w:val="20"/>
          <w:szCs w:val="20"/>
        </w:rPr>
        <w:sym w:font="Wingdings" w:char="F0FE"/>
      </w:r>
      <w:r w:rsidR="00742F9A">
        <w:rPr>
          <w:b/>
          <w:sz w:val="36"/>
          <w:szCs w:val="36"/>
        </w:rPr>
        <w:t xml:space="preserve"> </w:t>
      </w:r>
      <w:r w:rsidR="008A4AAF" w:rsidRPr="00D827C5">
        <w:rPr>
          <w:color w:val="000000"/>
          <w:sz w:val="22"/>
          <w:szCs w:val="22"/>
        </w:rPr>
        <w:t xml:space="preserve">Oświadczam, że </w:t>
      </w:r>
      <w:r w:rsidR="004A046A" w:rsidRPr="00D827C5">
        <w:rPr>
          <w:color w:val="000000"/>
          <w:sz w:val="22"/>
          <w:szCs w:val="22"/>
        </w:rPr>
        <w:t>Usługodawca</w:t>
      </w:r>
      <w:r w:rsidR="008A4AAF" w:rsidRPr="00D827C5">
        <w:rPr>
          <w:color w:val="000000"/>
          <w:sz w:val="22"/>
          <w:szCs w:val="22"/>
        </w:rPr>
        <w:t xml:space="preserve"> posiada potencjał techniczny i kadrowy niezbędny do należytego świadczenia usług </w:t>
      </w:r>
      <w:r w:rsidR="004A046A">
        <w:rPr>
          <w:color w:val="000000"/>
          <w:sz w:val="22"/>
          <w:szCs w:val="22"/>
        </w:rPr>
        <w:t>(</w:t>
      </w:r>
      <w:r w:rsidR="004A046A" w:rsidRPr="004A046A">
        <w:rPr>
          <w:i/>
          <w:color w:val="000000"/>
          <w:sz w:val="22"/>
          <w:szCs w:val="22"/>
        </w:rPr>
        <w:t xml:space="preserve">czyli </w:t>
      </w:r>
      <w:r w:rsidR="008A4AAF" w:rsidRPr="00D827C5">
        <w:rPr>
          <w:i/>
          <w:sz w:val="22"/>
          <w:szCs w:val="22"/>
        </w:rPr>
        <w:t>Usługodawca posiada osoby zdolne do wykonania zamówienia oraz posiada wyposażenie biurowe zapewniające właściwe przechowywanie dokumentacji związanej ze świadczeniem usług oraz dysponowanie urządzeniami technicznymi zapewniającymi właściwą obsługę podmiotów korzystających z usług, w szczególności sprzętem komputerowym wraz z oprogramowaniem biurowym</w:t>
      </w:r>
      <w:r w:rsidR="004A046A">
        <w:rPr>
          <w:i/>
          <w:sz w:val="22"/>
          <w:szCs w:val="22"/>
        </w:rPr>
        <w:t>)</w:t>
      </w:r>
    </w:p>
    <w:p w:rsidR="008A4AAF" w:rsidRPr="00D827C5" w:rsidRDefault="00673BEC" w:rsidP="00673BEC">
      <w:pPr>
        <w:pStyle w:val="NormalnyWeb"/>
        <w:numPr>
          <w:ilvl w:val="0"/>
          <w:numId w:val="13"/>
        </w:numPr>
        <w:spacing w:before="240" w:beforeAutospacing="0" w:after="0" w:afterAutospacing="0" w:line="276" w:lineRule="auto"/>
        <w:ind w:left="1077"/>
        <w:jc w:val="both"/>
        <w:rPr>
          <w:color w:val="000000"/>
          <w:sz w:val="22"/>
          <w:szCs w:val="22"/>
        </w:rPr>
      </w:pPr>
      <w:r>
        <w:rPr>
          <w:b/>
          <w:sz w:val="20"/>
          <w:szCs w:val="20"/>
        </w:rPr>
        <w:sym w:font="Wingdings" w:char="F0FE"/>
      </w:r>
      <w:r w:rsidR="00742F9A">
        <w:rPr>
          <w:b/>
          <w:sz w:val="36"/>
          <w:szCs w:val="36"/>
        </w:rPr>
        <w:t xml:space="preserve"> </w:t>
      </w:r>
      <w:r w:rsidR="008A4AAF" w:rsidRPr="00D827C5">
        <w:rPr>
          <w:color w:val="000000"/>
          <w:sz w:val="22"/>
          <w:szCs w:val="22"/>
        </w:rPr>
        <w:t xml:space="preserve">Oświadczam, że </w:t>
      </w:r>
      <w:r w:rsidR="004A046A" w:rsidRPr="00D827C5">
        <w:rPr>
          <w:color w:val="000000"/>
          <w:sz w:val="22"/>
          <w:szCs w:val="22"/>
        </w:rPr>
        <w:t>Usługodawca</w:t>
      </w:r>
      <w:r w:rsidR="008A4AAF" w:rsidRPr="00D827C5">
        <w:rPr>
          <w:color w:val="000000"/>
          <w:sz w:val="22"/>
          <w:szCs w:val="22"/>
        </w:rPr>
        <w:t xml:space="preserve"> posiada potencjał ekonomiczny niezbędny do należytego świadczenia usług </w:t>
      </w:r>
      <w:r w:rsidR="004A046A">
        <w:rPr>
          <w:color w:val="000000"/>
          <w:sz w:val="22"/>
          <w:szCs w:val="22"/>
        </w:rPr>
        <w:t>(</w:t>
      </w:r>
      <w:r w:rsidR="004A046A" w:rsidRPr="004A046A">
        <w:rPr>
          <w:i/>
          <w:color w:val="000000"/>
          <w:sz w:val="22"/>
          <w:szCs w:val="22"/>
        </w:rPr>
        <w:t>czyli</w:t>
      </w:r>
      <w:r w:rsidR="004A046A">
        <w:rPr>
          <w:color w:val="000000"/>
          <w:sz w:val="22"/>
          <w:szCs w:val="22"/>
        </w:rPr>
        <w:t xml:space="preserve"> </w:t>
      </w:r>
      <w:r w:rsidR="008A4AAF" w:rsidRPr="00D827C5">
        <w:rPr>
          <w:i/>
          <w:sz w:val="22"/>
          <w:szCs w:val="22"/>
        </w:rPr>
        <w:t>Podmiot nie posiada zaległości z tytułu podatków lub z tytułu składek na ubezpieczenia społeczne oraz zdrowotne oraz nie pozostaje pod zarządem komisarycznym, oraz nie został wobec niego złożony wniosek o ogłoszenie upadłości oraz nie zostało wobec niego wszczęte postępowanie likwidacyjne, naprawcze lub restrukturyzacyjne</w:t>
      </w:r>
      <w:r w:rsidR="004A046A">
        <w:rPr>
          <w:i/>
          <w:sz w:val="22"/>
          <w:szCs w:val="22"/>
        </w:rPr>
        <w:t>)</w:t>
      </w:r>
    </w:p>
    <w:p w:rsidR="001D1A79" w:rsidRDefault="00673BEC" w:rsidP="001D1A79">
      <w:pPr>
        <w:pStyle w:val="NormalnyWeb"/>
        <w:numPr>
          <w:ilvl w:val="0"/>
          <w:numId w:val="13"/>
        </w:numPr>
        <w:spacing w:before="240" w:beforeAutospacing="0" w:after="0" w:afterAutospacing="0" w:line="276" w:lineRule="auto"/>
        <w:jc w:val="both"/>
        <w:rPr>
          <w:color w:val="000000"/>
          <w:sz w:val="22"/>
          <w:szCs w:val="22"/>
        </w:rPr>
      </w:pPr>
      <w:r>
        <w:rPr>
          <w:b/>
          <w:sz w:val="20"/>
          <w:szCs w:val="20"/>
        </w:rPr>
        <w:sym w:font="Wingdings" w:char="F0FE"/>
      </w:r>
      <w:r w:rsidR="00742F9A">
        <w:rPr>
          <w:b/>
          <w:sz w:val="36"/>
          <w:szCs w:val="36"/>
        </w:rPr>
        <w:t xml:space="preserve"> </w:t>
      </w:r>
      <w:r w:rsidR="00B268B7" w:rsidRPr="00D827C5">
        <w:rPr>
          <w:color w:val="000000"/>
          <w:sz w:val="22"/>
          <w:szCs w:val="22"/>
        </w:rPr>
        <w:t xml:space="preserve">Oświadczam, że </w:t>
      </w:r>
      <w:bookmarkStart w:id="4" w:name="_Hlk536439142"/>
      <w:r w:rsidR="00284B13" w:rsidRPr="00D827C5">
        <w:rPr>
          <w:color w:val="000000"/>
          <w:sz w:val="22"/>
          <w:szCs w:val="22"/>
        </w:rPr>
        <w:t>Usługodawca zatrudnia na umowę o pracę (min. 1 etat) osobę/osoby, która/które posiada/ją doświadczenie w realizacji min. 3 usług doradczych na rzecz MŚP oraz co najmniej 2 letnie doświadczenie zawodowe w realizacji inicjatyw skierowanych do przedsiębiorców.</w:t>
      </w:r>
      <w:bookmarkStart w:id="5" w:name="_Hlk536514463"/>
      <w:bookmarkEnd w:id="4"/>
    </w:p>
    <w:p w:rsidR="00276AA4" w:rsidRPr="001D1A79" w:rsidRDefault="00276AA4" w:rsidP="00276AA4">
      <w:pPr>
        <w:pStyle w:val="NormalnyWeb"/>
        <w:spacing w:before="240" w:beforeAutospacing="0" w:after="0" w:afterAutospacing="0" w:line="276" w:lineRule="auto"/>
        <w:jc w:val="both"/>
        <w:rPr>
          <w:color w:val="000000"/>
          <w:sz w:val="22"/>
          <w:szCs w:val="22"/>
        </w:rPr>
      </w:pPr>
    </w:p>
    <w:p w:rsidR="00591180" w:rsidRDefault="00591180" w:rsidP="00591180">
      <w:pPr>
        <w:pStyle w:val="NormalnyWeb"/>
        <w:spacing w:line="312" w:lineRule="atLeast"/>
        <w:ind w:left="4956" w:firstLine="708"/>
        <w:jc w:val="both"/>
        <w:rPr>
          <w:color w:val="000000"/>
          <w:sz w:val="20"/>
          <w:szCs w:val="20"/>
        </w:rPr>
      </w:pPr>
      <w:r w:rsidRPr="00B268B7">
        <w:rPr>
          <w:color w:val="000000"/>
          <w:sz w:val="20"/>
          <w:szCs w:val="20"/>
        </w:rPr>
        <w:t>………………………</w:t>
      </w:r>
      <w:r>
        <w:rPr>
          <w:color w:val="000000"/>
          <w:sz w:val="20"/>
          <w:szCs w:val="20"/>
        </w:rPr>
        <w:t>……………………</w:t>
      </w:r>
    </w:p>
    <w:p w:rsidR="00B84026" w:rsidRDefault="00591180" w:rsidP="002167C7">
      <w:pPr>
        <w:pStyle w:val="NormalnyWeb"/>
        <w:spacing w:line="312" w:lineRule="atLeast"/>
        <w:ind w:left="2832"/>
        <w:jc w:val="both"/>
        <w:rPr>
          <w:color w:val="000000"/>
          <w:sz w:val="20"/>
          <w:szCs w:val="20"/>
        </w:rPr>
      </w:pPr>
      <w:r>
        <w:rPr>
          <w:color w:val="000000"/>
          <w:sz w:val="20"/>
          <w:szCs w:val="20"/>
        </w:rPr>
        <w:t xml:space="preserve">     </w:t>
      </w:r>
      <w:r w:rsidRPr="00B268B7">
        <w:rPr>
          <w:color w:val="000000"/>
          <w:sz w:val="20"/>
          <w:szCs w:val="20"/>
        </w:rPr>
        <w:t xml:space="preserve">podpis i pieczątka osoby upoważnionej </w:t>
      </w:r>
      <w:r>
        <w:rPr>
          <w:color w:val="000000"/>
          <w:sz w:val="20"/>
          <w:szCs w:val="20"/>
        </w:rPr>
        <w:t xml:space="preserve"> </w:t>
      </w:r>
      <w:r w:rsidRPr="00B268B7">
        <w:rPr>
          <w:color w:val="000000"/>
          <w:sz w:val="20"/>
          <w:szCs w:val="20"/>
        </w:rPr>
        <w:t xml:space="preserve">do reprezentowania </w:t>
      </w:r>
      <w:r w:rsidR="00D827C5">
        <w:rPr>
          <w:color w:val="000000"/>
          <w:sz w:val="20"/>
          <w:szCs w:val="20"/>
        </w:rPr>
        <w:t>Usługodawcy</w:t>
      </w:r>
      <w:bookmarkEnd w:id="5"/>
    </w:p>
    <w:p w:rsidR="00B84026" w:rsidRPr="00742F9A" w:rsidRDefault="00B84026" w:rsidP="00B84026">
      <w:pPr>
        <w:pStyle w:val="NormalnyWeb"/>
        <w:spacing w:line="312" w:lineRule="atLeast"/>
        <w:jc w:val="both"/>
        <w:rPr>
          <w:color w:val="000000"/>
          <w:sz w:val="18"/>
          <w:szCs w:val="18"/>
        </w:rPr>
      </w:pPr>
      <w:r w:rsidRPr="00742F9A">
        <w:rPr>
          <w:color w:val="000000"/>
          <w:sz w:val="18"/>
          <w:szCs w:val="18"/>
        </w:rPr>
        <w:lastRenderedPageBreak/>
        <w:t xml:space="preserve">Wyrażam zgodę na przetwarzanie danych zawartych w </w:t>
      </w:r>
      <w:r w:rsidRPr="00742F9A">
        <w:rPr>
          <w:i/>
          <w:color w:val="000000"/>
          <w:sz w:val="18"/>
          <w:szCs w:val="18"/>
        </w:rPr>
        <w:t xml:space="preserve">Formularzu </w:t>
      </w:r>
      <w:r w:rsidRPr="00742F9A">
        <w:rPr>
          <w:color w:val="000000"/>
          <w:sz w:val="18"/>
          <w:szCs w:val="18"/>
        </w:rPr>
        <w:t xml:space="preserve">dla  potrzeb  niezbędnych  do  realizacji  procesu  naboru, oceny, rozliczania, kontroli, realizacji obowiązków informacyjnych  </w:t>
      </w:r>
      <w:r w:rsidR="00D827C5" w:rsidRPr="00742F9A">
        <w:rPr>
          <w:color w:val="000000"/>
          <w:sz w:val="18"/>
          <w:szCs w:val="18"/>
        </w:rPr>
        <w:t xml:space="preserve">i </w:t>
      </w:r>
      <w:r w:rsidRPr="00742F9A">
        <w:rPr>
          <w:color w:val="000000"/>
          <w:sz w:val="18"/>
          <w:szCs w:val="18"/>
        </w:rPr>
        <w:t>promocyjnych oraz na potrzeby badań ewaluacyjnych, zarządzania, kontroli, audytu, sprawozdawczości i raportowania w ramach projektu: „Popytowy System Innowacji – rozwój MŚP w regionie świętokrzyskim poprzez profesjonalne usługi doradcze”,  zgodnie  z  Rozporządzeniem Parlamentu Europejskiego i Rady (UE) 2016/679 z dnia 27 kwietnia 2016 roku oraz ustawą z dnia  10  maja  2018 roku o ochronie  danych  osobowych  (Dz.U.2018  poz. 1000)  oraz  zgodnie z poniższą klauzulą informacyjną.</w:t>
      </w:r>
    </w:p>
    <w:p w:rsidR="001650A4" w:rsidRPr="00742F9A" w:rsidRDefault="001650A4" w:rsidP="00B84026">
      <w:pPr>
        <w:pStyle w:val="NormalnyWeb"/>
        <w:spacing w:line="312" w:lineRule="atLeast"/>
        <w:jc w:val="both"/>
        <w:rPr>
          <w:color w:val="000000"/>
          <w:sz w:val="18"/>
          <w:szCs w:val="18"/>
        </w:rPr>
      </w:pPr>
      <w:r w:rsidRPr="00742F9A">
        <w:rPr>
          <w:color w:val="000000"/>
          <w:sz w:val="18"/>
          <w:szCs w:val="18"/>
        </w:rPr>
        <w:t>Zgodnie z art. 13 ust. 1 i 2 RODO informujemy, że:</w:t>
      </w:r>
    </w:p>
    <w:p w:rsidR="007B21AB" w:rsidRPr="00742F9A" w:rsidRDefault="001650A4" w:rsidP="000B6C85">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 xml:space="preserve">administratorem danych osobowych jest Zarząd Województwa Świętokrzyskiego (Urząd Marszałkowski Województwa Świętokrzyskiego w Kielcach, al. IX Wieków Kielc 3, 25-516 Kielce, </w:t>
      </w:r>
    </w:p>
    <w:p w:rsidR="001650A4" w:rsidRPr="00742F9A" w:rsidRDefault="001650A4" w:rsidP="000B6C85">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 xml:space="preserve">dane kontaktowe do inspektora ochrony danych to e-mail: </w:t>
      </w:r>
      <w:hyperlink r:id="rId10" w:history="1">
        <w:r w:rsidRPr="00742F9A">
          <w:rPr>
            <w:rStyle w:val="Hipercze"/>
            <w:rFonts w:ascii="Times New Roman" w:hAnsi="Times New Roman" w:cs="Times New Roman"/>
            <w:color w:val="1256BB"/>
            <w:sz w:val="18"/>
            <w:szCs w:val="18"/>
          </w:rPr>
          <w:t>iod@sejmik.kielce.pl</w:t>
        </w:r>
      </w:hyperlink>
      <w:r w:rsidRPr="00742F9A">
        <w:rPr>
          <w:rFonts w:ascii="Times New Roman" w:hAnsi="Times New Roman" w:cs="Times New Roman"/>
          <w:color w:val="000000"/>
          <w:sz w:val="18"/>
          <w:szCs w:val="18"/>
        </w:rPr>
        <w:t>,</w:t>
      </w:r>
    </w:p>
    <w:p w:rsidR="00D652A3" w:rsidRPr="00742F9A"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 xml:space="preserve">dane osobowe są przetwarzane w celach: </w:t>
      </w:r>
      <w:bookmarkStart w:id="6" w:name="_Hlk536514508"/>
      <w:r w:rsidRPr="00742F9A">
        <w:rPr>
          <w:rFonts w:ascii="Times New Roman" w:hAnsi="Times New Roman" w:cs="Times New Roman"/>
          <w:color w:val="000000"/>
          <w:sz w:val="18"/>
          <w:szCs w:val="18"/>
        </w:rPr>
        <w:t xml:space="preserve">naboru, oceny, rozliczania, kontroli, realizacji obowiązków informacyjnych i promocyjnych oraz na potrzeby badań ewaluacyjnych, zarządzania, kontroli, audytu, sprawozdawczości i raportowania w ramach </w:t>
      </w:r>
      <w:r w:rsidR="007A4715" w:rsidRPr="00742F9A">
        <w:rPr>
          <w:rFonts w:ascii="Times New Roman" w:hAnsi="Times New Roman" w:cs="Times New Roman"/>
          <w:color w:val="000000"/>
          <w:sz w:val="18"/>
          <w:szCs w:val="18"/>
        </w:rPr>
        <w:t xml:space="preserve">projektu: </w:t>
      </w:r>
      <w:r w:rsidR="00B84026" w:rsidRPr="00742F9A">
        <w:rPr>
          <w:rFonts w:ascii="Times New Roman" w:hAnsi="Times New Roman" w:cs="Times New Roman"/>
          <w:color w:val="000000"/>
          <w:sz w:val="18"/>
          <w:szCs w:val="18"/>
        </w:rPr>
        <w:t>„Popytowy System Innowacji – rozwój MŚP w regionie świętokrzyskim poprzez profesjonalne usługi doradcze”.</w:t>
      </w:r>
    </w:p>
    <w:bookmarkEnd w:id="6"/>
    <w:p w:rsidR="001650A4" w:rsidRPr="00742F9A" w:rsidRDefault="00D652A3"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p</w:t>
      </w:r>
      <w:r w:rsidR="001650A4" w:rsidRPr="00742F9A">
        <w:rPr>
          <w:rFonts w:ascii="Times New Roman" w:hAnsi="Times New Roman" w:cs="Times New Roman"/>
          <w:color w:val="000000"/>
          <w:sz w:val="18"/>
          <w:szCs w:val="18"/>
        </w:rPr>
        <w:t>odstawą prawną przetwarzania danych osobowych jest obowiązek prawny ciążący na administratorze (art. 6 ust. 1 lit. c) RODO) określony w Ustawie z dnia 11 lipca 2014 r. o zasadach realizacji programów w zakresie polityki spójności finansowanych w perspektywie finansowej 2014-2020 oraz przepisach unijnych dotyczących wdrażania perspektywy finansowej 2014-2020.</w:t>
      </w:r>
    </w:p>
    <w:p w:rsidR="001650A4" w:rsidRPr="00742F9A"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podanie danych osobowych jest wymogiem ustawowym pozwalającym na realizację ww. celów, konsekwencją niepodania danych osobowych będzie brak możliwości aplikowania o dofinansowanie</w:t>
      </w:r>
      <w:r w:rsidR="007A4715" w:rsidRPr="00742F9A">
        <w:rPr>
          <w:rFonts w:ascii="Times New Roman" w:hAnsi="Times New Roman" w:cs="Times New Roman"/>
          <w:color w:val="000000"/>
          <w:sz w:val="18"/>
          <w:szCs w:val="18"/>
        </w:rPr>
        <w:t xml:space="preserve"> w ramach </w:t>
      </w:r>
      <w:r w:rsidRPr="00742F9A">
        <w:rPr>
          <w:rFonts w:ascii="Times New Roman" w:hAnsi="Times New Roman" w:cs="Times New Roman"/>
          <w:color w:val="000000"/>
          <w:sz w:val="18"/>
          <w:szCs w:val="18"/>
        </w:rPr>
        <w:t xml:space="preserve"> projektu,</w:t>
      </w:r>
    </w:p>
    <w:p w:rsidR="001650A4" w:rsidRPr="00742F9A"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kategoriami odbiorców danych są: eksperci oceniający projekty, podmioty wykonujące badania ewaluacyjne, osoby upoważnione, operatorzy pocztowi oraz podmioty wykonujące zadania w zakresie archiwizacji,</w:t>
      </w:r>
    </w:p>
    <w:p w:rsidR="001650A4" w:rsidRPr="00742F9A"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 xml:space="preserve">dane osobowe będą przechowywane przez okres wynikający z realizacji </w:t>
      </w:r>
      <w:r w:rsidR="007A4715" w:rsidRPr="00742F9A">
        <w:rPr>
          <w:rFonts w:ascii="Times New Roman" w:hAnsi="Times New Roman" w:cs="Times New Roman"/>
          <w:color w:val="000000"/>
          <w:sz w:val="18"/>
          <w:szCs w:val="18"/>
        </w:rPr>
        <w:t xml:space="preserve">projektu </w:t>
      </w:r>
      <w:r w:rsidR="00A57BE0" w:rsidRPr="00742F9A">
        <w:rPr>
          <w:rFonts w:ascii="Times New Roman" w:hAnsi="Times New Roman" w:cs="Times New Roman"/>
          <w:color w:val="000000"/>
          <w:sz w:val="18"/>
          <w:szCs w:val="18"/>
        </w:rPr>
        <w:t>oraz okres wynikający</w:t>
      </w:r>
      <w:r w:rsidR="00D652A3" w:rsidRPr="00742F9A">
        <w:rPr>
          <w:rFonts w:ascii="Times New Roman" w:hAnsi="Times New Roman" w:cs="Times New Roman"/>
          <w:color w:val="000000"/>
          <w:sz w:val="18"/>
          <w:szCs w:val="18"/>
        </w:rPr>
        <w:t xml:space="preserve"> </w:t>
      </w:r>
      <w:r w:rsidRPr="00742F9A">
        <w:rPr>
          <w:rFonts w:ascii="Times New Roman" w:hAnsi="Times New Roman" w:cs="Times New Roman"/>
          <w:color w:val="000000"/>
          <w:sz w:val="18"/>
          <w:szCs w:val="18"/>
        </w:rPr>
        <w:t>z przepisów prawa dot. archiwizacji,</w:t>
      </w:r>
    </w:p>
    <w:p w:rsidR="00D652A3" w:rsidRPr="00742F9A" w:rsidRDefault="001650A4" w:rsidP="00D652A3">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Wnioskodawca ma prawo żądania dostępu do treści swoich danych osobowych oraz prawo żądania ich sprostowania</w:t>
      </w:r>
      <w:r w:rsidR="00D652A3" w:rsidRPr="00742F9A">
        <w:rPr>
          <w:rFonts w:ascii="Times New Roman" w:hAnsi="Times New Roman" w:cs="Times New Roman"/>
          <w:color w:val="000000"/>
          <w:sz w:val="18"/>
          <w:szCs w:val="18"/>
        </w:rPr>
        <w:t xml:space="preserve"> </w:t>
      </w:r>
      <w:r w:rsidRPr="00742F9A">
        <w:rPr>
          <w:rFonts w:ascii="Times New Roman" w:hAnsi="Times New Roman" w:cs="Times New Roman"/>
          <w:color w:val="000000"/>
          <w:sz w:val="18"/>
          <w:szCs w:val="18"/>
        </w:rPr>
        <w:t>lub ograniczenia przetwarzania,</w:t>
      </w:r>
    </w:p>
    <w:p w:rsidR="00D652A3" w:rsidRPr="00742F9A" w:rsidRDefault="00D652A3" w:rsidP="00D652A3">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Wnioskodawcy nie przysługuje w związku z art. 17, ust. 3 lit. b, d lub e RODO prawo do usunięcia danych osobowych, prawo do przenoszenia danych osobowych, o którym mowa w art. 20 RODO, na podstawie art. 21 RODO prawo sprzeciwu, wobec przetwarzania danych osobowych, gdyż podstawą prawną przetwarzania danych osobowych Wnioskodawcy jest art. 6, ust. 1, lit. c RODO,</w:t>
      </w:r>
    </w:p>
    <w:p w:rsidR="001650A4" w:rsidRPr="00742F9A"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Wnioskodawca ma prawo wniesienia skargi do organu nadzorczego – Prezesa Urzędu Ochrony Danych Osobowych,</w:t>
      </w:r>
    </w:p>
    <w:p w:rsidR="00EA57D7" w:rsidRPr="00276AA4" w:rsidRDefault="001650A4" w:rsidP="00276AA4">
      <w:pPr>
        <w:numPr>
          <w:ilvl w:val="0"/>
          <w:numId w:val="8"/>
        </w:numPr>
        <w:spacing w:before="100" w:beforeAutospacing="1" w:after="100" w:afterAutospacing="1" w:line="288" w:lineRule="atLeast"/>
        <w:ind w:left="0"/>
        <w:jc w:val="both"/>
        <w:rPr>
          <w:rFonts w:ascii="Times New Roman" w:hAnsi="Times New Roman" w:cs="Times New Roman"/>
          <w:sz w:val="18"/>
          <w:szCs w:val="18"/>
        </w:rPr>
      </w:pPr>
      <w:r w:rsidRPr="00742F9A">
        <w:rPr>
          <w:rFonts w:ascii="Times New Roman" w:hAnsi="Times New Roman" w:cs="Times New Roman"/>
          <w:color w:val="000000"/>
          <w:sz w:val="18"/>
          <w:szCs w:val="18"/>
        </w:rPr>
        <w:t>dane osobowe nie będą wykorzystywane do zautomatyzowanego podejmo</w:t>
      </w:r>
      <w:r w:rsidR="00A57BE0" w:rsidRPr="00742F9A">
        <w:rPr>
          <w:rFonts w:ascii="Times New Roman" w:hAnsi="Times New Roman" w:cs="Times New Roman"/>
          <w:color w:val="000000"/>
          <w:sz w:val="18"/>
          <w:szCs w:val="18"/>
        </w:rPr>
        <w:t>wania decyzji ani profilowania,</w:t>
      </w:r>
      <w:r w:rsidR="00D652A3" w:rsidRPr="00742F9A">
        <w:rPr>
          <w:rFonts w:ascii="Times New Roman" w:hAnsi="Times New Roman" w:cs="Times New Roman"/>
          <w:color w:val="000000"/>
          <w:sz w:val="18"/>
          <w:szCs w:val="18"/>
        </w:rPr>
        <w:t xml:space="preserve"> </w:t>
      </w:r>
      <w:r w:rsidRPr="00742F9A">
        <w:rPr>
          <w:rFonts w:ascii="Times New Roman" w:hAnsi="Times New Roman" w:cs="Times New Roman"/>
          <w:color w:val="000000"/>
          <w:sz w:val="18"/>
          <w:szCs w:val="18"/>
        </w:rPr>
        <w:t>o którym mowa w art. 22 rozporządzenia o ochronie danych osobowych.</w:t>
      </w:r>
      <w:bookmarkEnd w:id="0"/>
    </w:p>
    <w:p w:rsidR="00276AA4" w:rsidRPr="00276AA4" w:rsidRDefault="00276AA4" w:rsidP="00276AA4">
      <w:pPr>
        <w:spacing w:before="100" w:beforeAutospacing="1" w:after="100" w:afterAutospacing="1" w:line="288" w:lineRule="atLeast"/>
        <w:jc w:val="both"/>
        <w:rPr>
          <w:rFonts w:ascii="Times New Roman" w:hAnsi="Times New Roman" w:cs="Times New Roman"/>
          <w:sz w:val="18"/>
          <w:szCs w:val="18"/>
        </w:rPr>
      </w:pPr>
    </w:p>
    <w:p w:rsidR="00B84026" w:rsidRDefault="00B84026" w:rsidP="00B84026">
      <w:pPr>
        <w:pStyle w:val="NormalnyWeb"/>
        <w:spacing w:line="312" w:lineRule="atLeast"/>
        <w:ind w:left="4956" w:firstLine="708"/>
        <w:jc w:val="both"/>
        <w:rPr>
          <w:color w:val="000000"/>
          <w:sz w:val="20"/>
          <w:szCs w:val="20"/>
        </w:rPr>
      </w:pPr>
      <w:r w:rsidRPr="00B268B7">
        <w:rPr>
          <w:color w:val="000000"/>
          <w:sz w:val="20"/>
          <w:szCs w:val="20"/>
        </w:rPr>
        <w:t>………………………</w:t>
      </w:r>
      <w:r>
        <w:rPr>
          <w:color w:val="000000"/>
          <w:sz w:val="20"/>
          <w:szCs w:val="20"/>
        </w:rPr>
        <w:t>……………………</w:t>
      </w:r>
    </w:p>
    <w:p w:rsidR="00B84026" w:rsidRPr="00276AA4" w:rsidRDefault="00B84026" w:rsidP="00276AA4">
      <w:pPr>
        <w:pStyle w:val="NormalnyWeb"/>
        <w:spacing w:line="312" w:lineRule="atLeast"/>
        <w:ind w:left="2832"/>
        <w:jc w:val="both"/>
        <w:rPr>
          <w:color w:val="000000"/>
          <w:sz w:val="20"/>
          <w:szCs w:val="20"/>
        </w:rPr>
      </w:pPr>
      <w:r>
        <w:rPr>
          <w:color w:val="000000"/>
          <w:sz w:val="20"/>
          <w:szCs w:val="20"/>
        </w:rPr>
        <w:t xml:space="preserve">     </w:t>
      </w:r>
      <w:r w:rsidRPr="00B268B7">
        <w:rPr>
          <w:color w:val="000000"/>
          <w:sz w:val="20"/>
          <w:szCs w:val="20"/>
        </w:rPr>
        <w:t xml:space="preserve">podpis i pieczątka osoby upoważnionej </w:t>
      </w:r>
      <w:r>
        <w:rPr>
          <w:color w:val="000000"/>
          <w:sz w:val="20"/>
          <w:szCs w:val="20"/>
        </w:rPr>
        <w:t xml:space="preserve"> </w:t>
      </w:r>
      <w:r w:rsidRPr="00B268B7">
        <w:rPr>
          <w:color w:val="000000"/>
          <w:sz w:val="20"/>
          <w:szCs w:val="20"/>
        </w:rPr>
        <w:t xml:space="preserve">do reprezentowania </w:t>
      </w:r>
      <w:r w:rsidR="00D827C5">
        <w:rPr>
          <w:color w:val="000000"/>
          <w:sz w:val="20"/>
          <w:szCs w:val="20"/>
        </w:rPr>
        <w:t>Usługodawcy</w:t>
      </w:r>
    </w:p>
    <w:sectPr w:rsidR="00B84026" w:rsidRPr="00276AA4" w:rsidSect="00EA57D7">
      <w:headerReference w:type="default" r:id="rId11"/>
      <w:footerReference w:type="default" r:id="rId12"/>
      <w:pgSz w:w="11906" w:h="16838"/>
      <w:pgMar w:top="1418" w:right="113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51D" w:rsidRDefault="0040351D" w:rsidP="0005183D">
      <w:pPr>
        <w:spacing w:after="0" w:line="240" w:lineRule="auto"/>
      </w:pPr>
      <w:r>
        <w:separator/>
      </w:r>
    </w:p>
  </w:endnote>
  <w:endnote w:type="continuationSeparator" w:id="0">
    <w:p w:rsidR="0040351D" w:rsidRDefault="0040351D" w:rsidP="0005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auto"/>
        <w:sz w:val="22"/>
        <w:szCs w:val="22"/>
      </w:rPr>
      <w:id w:val="1218237858"/>
      <w:docPartObj>
        <w:docPartGallery w:val="Page Numbers (Bottom of Page)"/>
        <w:docPartUnique/>
      </w:docPartObj>
    </w:sdtPr>
    <w:sdtEndPr/>
    <w:sdtContent>
      <w:p w:rsidR="008A4AAF" w:rsidRPr="008A4AAF" w:rsidRDefault="008A4AAF" w:rsidP="008A4AAF">
        <w:pPr>
          <w:pStyle w:val="Default"/>
          <w:spacing w:line="276" w:lineRule="auto"/>
          <w:jc w:val="both"/>
          <w:rPr>
            <w:color w:val="auto"/>
            <w:sz w:val="20"/>
            <w:szCs w:val="20"/>
          </w:rPr>
        </w:pPr>
      </w:p>
      <w:p w:rsidR="00591180" w:rsidRDefault="00591180">
        <w:pPr>
          <w:pStyle w:val="Stopka"/>
          <w:jc w:val="right"/>
        </w:pPr>
        <w:r>
          <w:fldChar w:fldCharType="begin"/>
        </w:r>
        <w:r>
          <w:instrText>PAGE   \* MERGEFORMAT</w:instrText>
        </w:r>
        <w:r>
          <w:fldChar w:fldCharType="separate"/>
        </w:r>
        <w:r w:rsidR="00C72E96">
          <w:rPr>
            <w:noProof/>
          </w:rPr>
          <w:t>10</w:t>
        </w:r>
        <w:r>
          <w:fldChar w:fldCharType="end"/>
        </w:r>
      </w:p>
    </w:sdtContent>
  </w:sdt>
  <w:p w:rsidR="00D652A3" w:rsidRDefault="00D652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51D" w:rsidRDefault="0040351D" w:rsidP="0005183D">
      <w:pPr>
        <w:spacing w:after="0" w:line="240" w:lineRule="auto"/>
      </w:pPr>
      <w:r>
        <w:separator/>
      </w:r>
    </w:p>
  </w:footnote>
  <w:footnote w:type="continuationSeparator" w:id="0">
    <w:p w:rsidR="0040351D" w:rsidRDefault="0040351D" w:rsidP="0005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05" w:type="pct"/>
      <w:tblInd w:w="-1" w:type="dxa"/>
      <w:tblCellMar>
        <w:left w:w="0" w:type="dxa"/>
        <w:right w:w="0" w:type="dxa"/>
      </w:tblCellMar>
      <w:tblLook w:val="04A0" w:firstRow="1" w:lastRow="0" w:firstColumn="1" w:lastColumn="0" w:noHBand="0" w:noVBand="1"/>
    </w:tblPr>
    <w:tblGrid>
      <w:gridCol w:w="1928"/>
      <w:gridCol w:w="2674"/>
      <w:gridCol w:w="2044"/>
      <w:gridCol w:w="2670"/>
    </w:tblGrid>
    <w:tr w:rsidR="00AF2377" w:rsidRPr="00CF2678" w:rsidTr="00BA7117">
      <w:tc>
        <w:tcPr>
          <w:tcW w:w="1035" w:type="pct"/>
          <w:tcMar>
            <w:left w:w="0" w:type="dxa"/>
            <w:right w:w="0" w:type="dxa"/>
          </w:tcMar>
        </w:tcPr>
        <w:p w:rsidR="00AF2377" w:rsidRPr="00CF2678" w:rsidRDefault="00AF2377" w:rsidP="00AF2377">
          <w:pPr>
            <w:spacing w:after="0" w:line="240" w:lineRule="auto"/>
            <w:rPr>
              <w:rFonts w:eastAsia="Times New Roman"/>
              <w:noProof/>
              <w:sz w:val="24"/>
              <w:szCs w:val="24"/>
              <w:lang w:eastAsia="pl-PL"/>
            </w:rPr>
          </w:pPr>
          <w:r w:rsidRPr="00CF2678">
            <w:rPr>
              <w:rFonts w:eastAsia="Times New Roman"/>
              <w:noProof/>
              <w:sz w:val="24"/>
              <w:szCs w:val="24"/>
              <w:lang w:eastAsia="pl-PL"/>
            </w:rPr>
            <w:drawing>
              <wp:inline distT="0" distB="0" distL="0" distR="0" wp14:anchorId="4B67D513" wp14:editId="696606DA">
                <wp:extent cx="1028700" cy="43815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35" w:type="pct"/>
          <w:tcMar>
            <w:left w:w="0" w:type="dxa"/>
            <w:right w:w="0" w:type="dxa"/>
          </w:tcMar>
        </w:tcPr>
        <w:p w:rsidR="00AF2377" w:rsidRPr="00CF2678" w:rsidRDefault="00AF2377" w:rsidP="00AF2377">
          <w:pPr>
            <w:spacing w:after="0" w:line="240" w:lineRule="auto"/>
            <w:jc w:val="center"/>
            <w:rPr>
              <w:rFonts w:eastAsia="Times New Roman"/>
              <w:noProof/>
              <w:sz w:val="24"/>
              <w:szCs w:val="24"/>
              <w:lang w:eastAsia="pl-PL"/>
            </w:rPr>
          </w:pPr>
          <w:r w:rsidRPr="00CF2678">
            <w:rPr>
              <w:rFonts w:eastAsia="Times New Roman"/>
              <w:noProof/>
              <w:sz w:val="24"/>
              <w:szCs w:val="24"/>
              <w:lang w:eastAsia="pl-PL"/>
            </w:rPr>
            <w:drawing>
              <wp:inline distT="0" distB="0" distL="0" distR="0" wp14:anchorId="0A21C7F1" wp14:editId="4D002DDC">
                <wp:extent cx="1419225" cy="438150"/>
                <wp:effectExtent l="0" t="0" r="9525"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438150"/>
                        </a:xfrm>
                        <a:prstGeom prst="rect">
                          <a:avLst/>
                        </a:prstGeom>
                        <a:noFill/>
                        <a:ln>
                          <a:noFill/>
                        </a:ln>
                      </pic:spPr>
                    </pic:pic>
                  </a:graphicData>
                </a:graphic>
              </wp:inline>
            </w:drawing>
          </w:r>
        </w:p>
      </w:tc>
      <w:tc>
        <w:tcPr>
          <w:tcW w:w="1097" w:type="pct"/>
          <w:tcMar>
            <w:left w:w="0" w:type="dxa"/>
            <w:right w:w="0" w:type="dxa"/>
          </w:tcMar>
        </w:tcPr>
        <w:p w:rsidR="00AF2377" w:rsidRPr="00CF2678" w:rsidRDefault="00AF2377" w:rsidP="00AF2377">
          <w:pPr>
            <w:spacing w:after="0" w:line="240" w:lineRule="auto"/>
            <w:ind w:left="-27"/>
            <w:jc w:val="center"/>
            <w:rPr>
              <w:rFonts w:eastAsia="Times New Roman"/>
              <w:noProof/>
              <w:sz w:val="24"/>
              <w:szCs w:val="24"/>
              <w:lang w:eastAsia="pl-PL"/>
            </w:rPr>
          </w:pPr>
          <w:r w:rsidRPr="00CF2678">
            <w:rPr>
              <w:rFonts w:eastAsia="Times New Roman"/>
              <w:noProof/>
              <w:sz w:val="24"/>
              <w:szCs w:val="24"/>
              <w:lang w:eastAsia="pl-PL"/>
            </w:rPr>
            <w:drawing>
              <wp:inline distT="0" distB="0" distL="0" distR="0" wp14:anchorId="1AEC2B70" wp14:editId="714B2B58">
                <wp:extent cx="962025" cy="438150"/>
                <wp:effectExtent l="0" t="0" r="9525"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433" w:type="pct"/>
          <w:tcMar>
            <w:left w:w="0" w:type="dxa"/>
            <w:right w:w="0" w:type="dxa"/>
          </w:tcMar>
        </w:tcPr>
        <w:p w:rsidR="00AF2377" w:rsidRPr="00CF2678" w:rsidRDefault="00AF2377" w:rsidP="00AF2377">
          <w:pPr>
            <w:spacing w:after="0" w:line="240" w:lineRule="auto"/>
            <w:ind w:right="-1"/>
            <w:jc w:val="right"/>
            <w:rPr>
              <w:rFonts w:eastAsia="Times New Roman"/>
              <w:noProof/>
              <w:sz w:val="24"/>
              <w:szCs w:val="24"/>
              <w:lang w:eastAsia="pl-PL"/>
            </w:rPr>
          </w:pPr>
          <w:r w:rsidRPr="00CF2678">
            <w:rPr>
              <w:rFonts w:eastAsia="Times New Roman"/>
              <w:noProof/>
              <w:sz w:val="24"/>
              <w:szCs w:val="24"/>
              <w:lang w:eastAsia="pl-PL"/>
            </w:rPr>
            <w:drawing>
              <wp:inline distT="0" distB="0" distL="0" distR="0" wp14:anchorId="6BCACFFE" wp14:editId="5E9A3B62">
                <wp:extent cx="1543050" cy="43815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438150"/>
                        </a:xfrm>
                        <a:prstGeom prst="rect">
                          <a:avLst/>
                        </a:prstGeom>
                        <a:noFill/>
                        <a:ln>
                          <a:noFill/>
                        </a:ln>
                      </pic:spPr>
                    </pic:pic>
                  </a:graphicData>
                </a:graphic>
              </wp:inline>
            </w:drawing>
          </w:r>
        </w:p>
      </w:tc>
    </w:tr>
  </w:tbl>
  <w:p w:rsidR="00AF2377" w:rsidRPr="00BA7117" w:rsidRDefault="00BA7117" w:rsidP="00BA7117">
    <w:pPr>
      <w:pStyle w:val="Nagwek"/>
      <w:jc w:val="center"/>
      <w:rPr>
        <w:rFonts w:ascii="Times New Roman" w:hAnsi="Times New Roman" w:cs="Times New Roman"/>
        <w:sz w:val="20"/>
        <w:szCs w:val="20"/>
      </w:rPr>
    </w:pPr>
    <w:r w:rsidRPr="00BA7117">
      <w:rPr>
        <w:rFonts w:ascii="Times New Roman" w:hAnsi="Times New Roman" w:cs="Times New Roman"/>
        <w:sz w:val="20"/>
        <w:szCs w:val="20"/>
      </w:rPr>
      <w:t>Projekt współfinansowany przez Unię Europejską w ramach Europejskiego Funduszu Rozwoju Regionalnego</w:t>
    </w:r>
  </w:p>
  <w:p w:rsidR="0006085D" w:rsidRDefault="0006085D" w:rsidP="00AF2377">
    <w:pPr>
      <w:pStyle w:val="Default"/>
      <w:jc w:val="right"/>
      <w:rPr>
        <w:i/>
        <w:sz w:val="22"/>
        <w:szCs w:val="22"/>
      </w:rPr>
    </w:pPr>
  </w:p>
  <w:p w:rsidR="00591180" w:rsidRPr="00AF2377" w:rsidRDefault="00591180" w:rsidP="00AF23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14B4C"/>
    <w:multiLevelType w:val="hybridMultilevel"/>
    <w:tmpl w:val="0CF8E76A"/>
    <w:lvl w:ilvl="0" w:tplc="50541A72">
      <w:start w:val="1"/>
      <w:numFmt w:val="decimal"/>
      <w:lvlText w:val="%1."/>
      <w:lvlJc w:val="left"/>
      <w:pPr>
        <w:ind w:left="360" w:hanging="360"/>
      </w:pPr>
      <w:rPr>
        <w:rFonts w:hint="default"/>
        <w:b w:val="0"/>
      </w:rPr>
    </w:lvl>
    <w:lvl w:ilvl="1" w:tplc="DB526A9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65F3E"/>
    <w:multiLevelType w:val="multilevel"/>
    <w:tmpl w:val="52D2D77A"/>
    <w:lvl w:ilvl="0">
      <w:start w:val="1"/>
      <w:numFmt w:val="decimal"/>
      <w:lvlText w:val="%1."/>
      <w:lvlJc w:val="left"/>
      <w:pPr>
        <w:ind w:left="1080" w:hanging="720"/>
      </w:pPr>
      <w:rPr>
        <w:rFonts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B7490A"/>
    <w:multiLevelType w:val="multilevel"/>
    <w:tmpl w:val="72E66456"/>
    <w:lvl w:ilvl="0">
      <w:start w:val="1"/>
      <w:numFmt w:val="upperRoman"/>
      <w:lvlText w:val="%1."/>
      <w:lvlJc w:val="left"/>
      <w:pPr>
        <w:ind w:left="1080" w:hanging="720"/>
      </w:pPr>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ED5BA6"/>
    <w:multiLevelType w:val="hybridMultilevel"/>
    <w:tmpl w:val="45042F2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15:restartNumberingAfterBreak="0">
    <w:nsid w:val="1C1E6C45"/>
    <w:multiLevelType w:val="multilevel"/>
    <w:tmpl w:val="DE5882BC"/>
    <w:lvl w:ilvl="0">
      <w:start w:val="4"/>
      <w:numFmt w:val="decimal"/>
      <w:lvlText w:val="%1"/>
      <w:lvlJc w:val="left"/>
      <w:pPr>
        <w:ind w:left="360" w:hanging="360"/>
      </w:pPr>
      <w:rPr>
        <w:rFonts w:eastAsia="Calibri" w:hint="default"/>
      </w:rPr>
    </w:lvl>
    <w:lvl w:ilvl="1">
      <w:start w:val="1"/>
      <w:numFmt w:val="decimal"/>
      <w:lvlText w:val="%1.%2"/>
      <w:lvlJc w:val="left"/>
      <w:pPr>
        <w:ind w:left="1440" w:hanging="36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040" w:hanging="72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560" w:hanging="108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080" w:hanging="1440"/>
      </w:pPr>
      <w:rPr>
        <w:rFonts w:eastAsia="Calibri" w:hint="default"/>
      </w:rPr>
    </w:lvl>
  </w:abstractNum>
  <w:abstractNum w:abstractNumId="5" w15:restartNumberingAfterBreak="0">
    <w:nsid w:val="2341378A"/>
    <w:multiLevelType w:val="multilevel"/>
    <w:tmpl w:val="D37CC598"/>
    <w:lvl w:ilvl="0">
      <w:start w:val="10"/>
      <w:numFmt w:val="bullet"/>
      <w:lvlText w:val="-"/>
      <w:lvlJc w:val="left"/>
      <w:pPr>
        <w:ind w:left="1004" w:hanging="360"/>
      </w:pPr>
      <w:rPr>
        <w:rFonts w:ascii="Times New Roman" w:hAnsi="Times New Roman" w:cs="Times New Roman" w:hint="default"/>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6" w15:restartNumberingAfterBreak="0">
    <w:nsid w:val="23523003"/>
    <w:multiLevelType w:val="multilevel"/>
    <w:tmpl w:val="DD50F5D8"/>
    <w:lvl w:ilvl="0">
      <w:start w:val="1"/>
      <w:numFmt w:val="upperRoman"/>
      <w:lvlText w:val="%1."/>
      <w:lvlJc w:val="right"/>
      <w:pPr>
        <w:ind w:left="72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7" w15:restartNumberingAfterBreak="0">
    <w:nsid w:val="23676CCE"/>
    <w:multiLevelType w:val="multilevel"/>
    <w:tmpl w:val="85EC22DE"/>
    <w:lvl w:ilvl="0">
      <w:start w:val="1"/>
      <w:numFmt w:val="decimal"/>
      <w:lvlText w:val="%1)"/>
      <w:lvlJc w:val="left"/>
      <w:pPr>
        <w:ind w:left="1211" w:hanging="360"/>
      </w:pPr>
      <w:rPr>
        <w:rFonts w:ascii="Times New Roman" w:hAnsi="Times New Roman" w:cs="Times New Roman" w:hint="default"/>
        <w:b w:val="0"/>
        <w:i w:val="0"/>
        <w:color w:val="00000A"/>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29FF55B2"/>
    <w:multiLevelType w:val="hybridMultilevel"/>
    <w:tmpl w:val="C638F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D1123F"/>
    <w:multiLevelType w:val="multilevel"/>
    <w:tmpl w:val="72E66456"/>
    <w:lvl w:ilvl="0">
      <w:start w:val="1"/>
      <w:numFmt w:val="upperRoman"/>
      <w:lvlText w:val="%1."/>
      <w:lvlJc w:val="left"/>
      <w:pPr>
        <w:ind w:left="1080" w:hanging="720"/>
      </w:pPr>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E511D5"/>
    <w:multiLevelType w:val="hybridMultilevel"/>
    <w:tmpl w:val="9244B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6715BF"/>
    <w:multiLevelType w:val="multilevel"/>
    <w:tmpl w:val="E6A4BA7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36800629"/>
    <w:multiLevelType w:val="hybridMultilevel"/>
    <w:tmpl w:val="19BEDCD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7F605B1"/>
    <w:multiLevelType w:val="hybridMultilevel"/>
    <w:tmpl w:val="839EE3FA"/>
    <w:lvl w:ilvl="0" w:tplc="E45AF50E">
      <w:start w:val="1"/>
      <w:numFmt w:val="decimal"/>
      <w:lvlText w:val="%1."/>
      <w:lvlJc w:val="left"/>
      <w:pPr>
        <w:ind w:left="720" w:hanging="360"/>
      </w:pPr>
      <w:rPr>
        <w:b w:val="0"/>
        <w:color w:val="auto"/>
      </w:rPr>
    </w:lvl>
    <w:lvl w:ilvl="1" w:tplc="4B8C902A">
      <w:start w:val="1"/>
      <w:numFmt w:val="lowerLetter"/>
      <w:lvlText w:val="%2)"/>
      <w:lvlJc w:val="left"/>
      <w:pPr>
        <w:ind w:left="1440" w:hanging="360"/>
      </w:pPr>
      <w:rPr>
        <w:rFonts w:hint="default"/>
      </w:rPr>
    </w:lvl>
    <w:lvl w:ilvl="2" w:tplc="87D0AC2E">
      <w:start w:val="1"/>
      <w:numFmt w:val="decimal"/>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C4385E"/>
    <w:multiLevelType w:val="hybridMultilevel"/>
    <w:tmpl w:val="D3C00F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C42B4C"/>
    <w:multiLevelType w:val="multilevel"/>
    <w:tmpl w:val="60D40D1C"/>
    <w:lvl w:ilvl="0">
      <w:start w:val="1"/>
      <w:numFmt w:val="decimal"/>
      <w:lvlText w:val="%1."/>
      <w:lvlJc w:val="left"/>
      <w:pPr>
        <w:ind w:left="786" w:hanging="360"/>
      </w:pPr>
      <w:rPr>
        <w:rFonts w:ascii="Tahoma" w:hAnsi="Tahoma"/>
        <w:b/>
        <w:i w:val="0"/>
        <w:iCs w:val="0"/>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41812AA2"/>
    <w:multiLevelType w:val="multilevel"/>
    <w:tmpl w:val="6478C0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A104CD"/>
    <w:multiLevelType w:val="multilevel"/>
    <w:tmpl w:val="52D2D77A"/>
    <w:lvl w:ilvl="0">
      <w:start w:val="1"/>
      <w:numFmt w:val="decimal"/>
      <w:lvlText w:val="%1."/>
      <w:lvlJc w:val="left"/>
      <w:pPr>
        <w:ind w:left="1080" w:hanging="720"/>
      </w:pPr>
      <w:rPr>
        <w:rFonts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B2276D"/>
    <w:multiLevelType w:val="multilevel"/>
    <w:tmpl w:val="DD50F5D8"/>
    <w:lvl w:ilvl="0">
      <w:start w:val="1"/>
      <w:numFmt w:val="upperRoman"/>
      <w:lvlText w:val="%1."/>
      <w:lvlJc w:val="right"/>
      <w:pPr>
        <w:ind w:left="72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9" w15:restartNumberingAfterBreak="0">
    <w:nsid w:val="616B043C"/>
    <w:multiLevelType w:val="multilevel"/>
    <w:tmpl w:val="3CC81D5A"/>
    <w:lvl w:ilvl="0">
      <w:start w:val="1"/>
      <w:numFmt w:val="bullet"/>
      <w:lvlText w:val=""/>
      <w:lvlJc w:val="left"/>
      <w:pPr>
        <w:ind w:left="1789"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2F8194B"/>
    <w:multiLevelType w:val="multilevel"/>
    <w:tmpl w:val="F1420D2E"/>
    <w:lvl w:ilvl="0">
      <w:start w:val="1"/>
      <w:numFmt w:val="lowerLetter"/>
      <w:lvlText w:val="%1)"/>
      <w:lvlJc w:val="left"/>
      <w:pPr>
        <w:ind w:left="1495" w:hanging="360"/>
      </w:pPr>
      <w:rPr>
        <w:rFonts w:ascii="Times New Roman" w:hAnsi="Times New Roman" w:cs="Times New Roman" w:hint="default"/>
        <w:b w:val="0"/>
        <w:color w:val="00000A"/>
        <w:sz w:val="20"/>
        <w:szCs w:val="2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1" w15:restartNumberingAfterBreak="0">
    <w:nsid w:val="69BC170F"/>
    <w:multiLevelType w:val="multilevel"/>
    <w:tmpl w:val="A7C6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C35D72"/>
    <w:multiLevelType w:val="multilevel"/>
    <w:tmpl w:val="52D2D77A"/>
    <w:lvl w:ilvl="0">
      <w:start w:val="1"/>
      <w:numFmt w:val="decimal"/>
      <w:lvlText w:val="%1."/>
      <w:lvlJc w:val="left"/>
      <w:pPr>
        <w:ind w:left="1080" w:hanging="720"/>
      </w:pPr>
      <w:rPr>
        <w:rFonts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6"/>
  </w:num>
  <w:num w:numId="3">
    <w:abstractNumId w:val="2"/>
  </w:num>
  <w:num w:numId="4">
    <w:abstractNumId w:val="15"/>
  </w:num>
  <w:num w:numId="5">
    <w:abstractNumId w:val="19"/>
  </w:num>
  <w:num w:numId="6">
    <w:abstractNumId w:val="5"/>
  </w:num>
  <w:num w:numId="7">
    <w:abstractNumId w:val="17"/>
  </w:num>
  <w:num w:numId="8">
    <w:abstractNumId w:val="21"/>
  </w:num>
  <w:num w:numId="9">
    <w:abstractNumId w:val="20"/>
  </w:num>
  <w:num w:numId="10">
    <w:abstractNumId w:val="12"/>
  </w:num>
  <w:num w:numId="11">
    <w:abstractNumId w:val="7"/>
  </w:num>
  <w:num w:numId="12">
    <w:abstractNumId w:val="0"/>
  </w:num>
  <w:num w:numId="13">
    <w:abstractNumId w:val="1"/>
  </w:num>
  <w:num w:numId="14">
    <w:abstractNumId w:val="11"/>
  </w:num>
  <w:num w:numId="15">
    <w:abstractNumId w:val="4"/>
  </w:num>
  <w:num w:numId="16">
    <w:abstractNumId w:val="16"/>
  </w:num>
  <w:num w:numId="17">
    <w:abstractNumId w:val="3"/>
  </w:num>
  <w:num w:numId="18">
    <w:abstractNumId w:val="13"/>
  </w:num>
  <w:num w:numId="19">
    <w:abstractNumId w:val="22"/>
  </w:num>
  <w:num w:numId="20">
    <w:abstractNumId w:val="18"/>
  </w:num>
  <w:num w:numId="21">
    <w:abstractNumId w:val="10"/>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83D"/>
    <w:rsid w:val="000051E3"/>
    <w:rsid w:val="000209F2"/>
    <w:rsid w:val="0003122C"/>
    <w:rsid w:val="000340F0"/>
    <w:rsid w:val="0003476B"/>
    <w:rsid w:val="000378B0"/>
    <w:rsid w:val="00042009"/>
    <w:rsid w:val="000467DA"/>
    <w:rsid w:val="0004736D"/>
    <w:rsid w:val="0005183D"/>
    <w:rsid w:val="0006085D"/>
    <w:rsid w:val="00060EAB"/>
    <w:rsid w:val="000C2C34"/>
    <w:rsid w:val="00130AF3"/>
    <w:rsid w:val="001422B2"/>
    <w:rsid w:val="001650A4"/>
    <w:rsid w:val="001740A4"/>
    <w:rsid w:val="001B745F"/>
    <w:rsid w:val="001D1A79"/>
    <w:rsid w:val="001F68D1"/>
    <w:rsid w:val="002167C7"/>
    <w:rsid w:val="00241F35"/>
    <w:rsid w:val="00270BFC"/>
    <w:rsid w:val="002718AF"/>
    <w:rsid w:val="00276AA4"/>
    <w:rsid w:val="00284B13"/>
    <w:rsid w:val="0028782E"/>
    <w:rsid w:val="002960F2"/>
    <w:rsid w:val="002D6290"/>
    <w:rsid w:val="002D799D"/>
    <w:rsid w:val="002F1C70"/>
    <w:rsid w:val="002F7B73"/>
    <w:rsid w:val="00325580"/>
    <w:rsid w:val="003616EB"/>
    <w:rsid w:val="0037718C"/>
    <w:rsid w:val="00384BA1"/>
    <w:rsid w:val="003929C1"/>
    <w:rsid w:val="003B210F"/>
    <w:rsid w:val="003C2724"/>
    <w:rsid w:val="003C39CA"/>
    <w:rsid w:val="003C47B8"/>
    <w:rsid w:val="003D4F43"/>
    <w:rsid w:val="0040351D"/>
    <w:rsid w:val="00403952"/>
    <w:rsid w:val="004161B3"/>
    <w:rsid w:val="00461CF9"/>
    <w:rsid w:val="004A046A"/>
    <w:rsid w:val="004C36E2"/>
    <w:rsid w:val="004C5523"/>
    <w:rsid w:val="004E1899"/>
    <w:rsid w:val="004F7BFB"/>
    <w:rsid w:val="00500561"/>
    <w:rsid w:val="005242CD"/>
    <w:rsid w:val="00535F3A"/>
    <w:rsid w:val="00564927"/>
    <w:rsid w:val="005758EB"/>
    <w:rsid w:val="005775F2"/>
    <w:rsid w:val="00591180"/>
    <w:rsid w:val="005B15CA"/>
    <w:rsid w:val="005B5104"/>
    <w:rsid w:val="005E2653"/>
    <w:rsid w:val="005E26C3"/>
    <w:rsid w:val="005E5999"/>
    <w:rsid w:val="0061221A"/>
    <w:rsid w:val="00655E93"/>
    <w:rsid w:val="00662AB6"/>
    <w:rsid w:val="00673BEC"/>
    <w:rsid w:val="00687750"/>
    <w:rsid w:val="006A24BF"/>
    <w:rsid w:val="006D2266"/>
    <w:rsid w:val="006E0A0E"/>
    <w:rsid w:val="007126EE"/>
    <w:rsid w:val="00735184"/>
    <w:rsid w:val="00742F9A"/>
    <w:rsid w:val="00765879"/>
    <w:rsid w:val="00777393"/>
    <w:rsid w:val="00790572"/>
    <w:rsid w:val="007A4715"/>
    <w:rsid w:val="007A6AC7"/>
    <w:rsid w:val="007B21AB"/>
    <w:rsid w:val="007C398C"/>
    <w:rsid w:val="007E47D2"/>
    <w:rsid w:val="007F3969"/>
    <w:rsid w:val="008344E4"/>
    <w:rsid w:val="008940E3"/>
    <w:rsid w:val="008A4AAF"/>
    <w:rsid w:val="008A5F63"/>
    <w:rsid w:val="008C35CD"/>
    <w:rsid w:val="008C4272"/>
    <w:rsid w:val="008D66A4"/>
    <w:rsid w:val="008E2F8A"/>
    <w:rsid w:val="00901A6D"/>
    <w:rsid w:val="00911A75"/>
    <w:rsid w:val="00924031"/>
    <w:rsid w:val="00933142"/>
    <w:rsid w:val="0093709A"/>
    <w:rsid w:val="00944507"/>
    <w:rsid w:val="00945A0D"/>
    <w:rsid w:val="00990623"/>
    <w:rsid w:val="009E4B19"/>
    <w:rsid w:val="009F10C4"/>
    <w:rsid w:val="009F23B5"/>
    <w:rsid w:val="00A12668"/>
    <w:rsid w:val="00A30159"/>
    <w:rsid w:val="00A43D46"/>
    <w:rsid w:val="00A47DFF"/>
    <w:rsid w:val="00A57BE0"/>
    <w:rsid w:val="00A80DB3"/>
    <w:rsid w:val="00AF2377"/>
    <w:rsid w:val="00B0169D"/>
    <w:rsid w:val="00B12609"/>
    <w:rsid w:val="00B1592B"/>
    <w:rsid w:val="00B17A5F"/>
    <w:rsid w:val="00B268B7"/>
    <w:rsid w:val="00B3378E"/>
    <w:rsid w:val="00B43CAA"/>
    <w:rsid w:val="00B84026"/>
    <w:rsid w:val="00B92B32"/>
    <w:rsid w:val="00BA7117"/>
    <w:rsid w:val="00BB2FE3"/>
    <w:rsid w:val="00BD0178"/>
    <w:rsid w:val="00BD33CD"/>
    <w:rsid w:val="00C018AD"/>
    <w:rsid w:val="00C34609"/>
    <w:rsid w:val="00C42F4E"/>
    <w:rsid w:val="00C447A5"/>
    <w:rsid w:val="00C62237"/>
    <w:rsid w:val="00C72E96"/>
    <w:rsid w:val="00C76671"/>
    <w:rsid w:val="00C94064"/>
    <w:rsid w:val="00C95EEF"/>
    <w:rsid w:val="00CA53CB"/>
    <w:rsid w:val="00CB5FB2"/>
    <w:rsid w:val="00CC2BDD"/>
    <w:rsid w:val="00CD01A1"/>
    <w:rsid w:val="00CE2112"/>
    <w:rsid w:val="00CF4983"/>
    <w:rsid w:val="00D0073C"/>
    <w:rsid w:val="00D0313E"/>
    <w:rsid w:val="00D107B5"/>
    <w:rsid w:val="00D24298"/>
    <w:rsid w:val="00D53400"/>
    <w:rsid w:val="00D652A3"/>
    <w:rsid w:val="00D827C5"/>
    <w:rsid w:val="00D8310B"/>
    <w:rsid w:val="00DB6A86"/>
    <w:rsid w:val="00DD775C"/>
    <w:rsid w:val="00E11AA3"/>
    <w:rsid w:val="00E2704F"/>
    <w:rsid w:val="00E43518"/>
    <w:rsid w:val="00E70310"/>
    <w:rsid w:val="00EA03A3"/>
    <w:rsid w:val="00EA108F"/>
    <w:rsid w:val="00EA57D7"/>
    <w:rsid w:val="00EA6233"/>
    <w:rsid w:val="00EC2161"/>
    <w:rsid w:val="00EC2653"/>
    <w:rsid w:val="00EC4599"/>
    <w:rsid w:val="00EC6596"/>
    <w:rsid w:val="00F5505D"/>
    <w:rsid w:val="00F55C8D"/>
    <w:rsid w:val="00F61DF7"/>
    <w:rsid w:val="00F62280"/>
    <w:rsid w:val="00FA54E6"/>
    <w:rsid w:val="00FD06B0"/>
    <w:rsid w:val="00FD0E04"/>
    <w:rsid w:val="00FD6CE9"/>
    <w:rsid w:val="00FE0F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8DAD6"/>
  <w15:docId w15:val="{0C8DC350-93B6-46C9-87B5-0064AB20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A43D46"/>
    <w:pPr>
      <w:spacing w:after="200" w:line="276" w:lineRule="auto"/>
    </w:pPr>
    <w:rPr>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qFormat/>
    <w:locked/>
    <w:rsid w:val="0005183D"/>
    <w:rPr>
      <w:rFonts w:eastAsiaTheme="minorEastAsia"/>
      <w:lang w:eastAsia="pl-PL"/>
    </w:rPr>
  </w:style>
  <w:style w:type="paragraph" w:styleId="Akapitzlist">
    <w:name w:val="List Paragraph"/>
    <w:basedOn w:val="Normalny"/>
    <w:link w:val="AkapitzlistZnak"/>
    <w:uiPriority w:val="34"/>
    <w:qFormat/>
    <w:rsid w:val="0005183D"/>
    <w:pPr>
      <w:ind w:left="720"/>
      <w:contextualSpacing/>
    </w:pPr>
    <w:rPr>
      <w:rFonts w:eastAsiaTheme="minorEastAsia"/>
      <w:color w:val="auto"/>
      <w:lang w:eastAsia="pl-PL"/>
    </w:rPr>
  </w:style>
  <w:style w:type="table" w:styleId="Tabela-Siatka">
    <w:name w:val="Table Grid"/>
    <w:basedOn w:val="Standardowy"/>
    <w:uiPriority w:val="59"/>
    <w:rsid w:val="0005183D"/>
    <w:pPr>
      <w:spacing w:after="0" w:line="240" w:lineRule="auto"/>
    </w:pPr>
    <w:rPr>
      <w:rFonts w:eastAsiaTheme="minorEastAsia"/>
      <w:sz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qFormat/>
    <w:rsid w:val="0005183D"/>
  </w:style>
  <w:style w:type="character" w:customStyle="1" w:styleId="TekstprzypisudolnegoZnak">
    <w:name w:val="Tekst przypisu dolnego Znak"/>
    <w:basedOn w:val="Domylnaczcionkaakapitu"/>
    <w:link w:val="Tekstprzypisudolnego"/>
    <w:qFormat/>
    <w:locked/>
    <w:rsid w:val="0005183D"/>
    <w:rPr>
      <w:rFonts w:ascii="Times New Roman" w:hAnsi="Times New Roman" w:cs="Times New Roman"/>
      <w:szCs w:val="24"/>
    </w:rPr>
  </w:style>
  <w:style w:type="character" w:customStyle="1" w:styleId="st">
    <w:name w:val="st"/>
    <w:basedOn w:val="Domylnaczcionkaakapitu"/>
    <w:qFormat/>
    <w:rsid w:val="0005183D"/>
  </w:style>
  <w:style w:type="character" w:customStyle="1" w:styleId="resize-text">
    <w:name w:val="resize-text"/>
    <w:basedOn w:val="Domylnaczcionkaakapitu"/>
    <w:qFormat/>
    <w:rsid w:val="0005183D"/>
  </w:style>
  <w:style w:type="paragraph" w:styleId="Stopka">
    <w:name w:val="footer"/>
    <w:basedOn w:val="Normalny"/>
    <w:link w:val="StopkaZnak"/>
    <w:uiPriority w:val="99"/>
    <w:unhideWhenUsed/>
    <w:rsid w:val="0005183D"/>
    <w:pPr>
      <w:tabs>
        <w:tab w:val="center" w:pos="4536"/>
        <w:tab w:val="right" w:pos="9072"/>
      </w:tabs>
      <w:spacing w:after="0" w:line="240" w:lineRule="auto"/>
    </w:pPr>
    <w:rPr>
      <w:color w:val="auto"/>
    </w:rPr>
  </w:style>
  <w:style w:type="character" w:customStyle="1" w:styleId="StopkaZnak1">
    <w:name w:val="Stopka Znak1"/>
    <w:basedOn w:val="Domylnaczcionkaakapitu"/>
    <w:uiPriority w:val="99"/>
    <w:semiHidden/>
    <w:rsid w:val="0005183D"/>
    <w:rPr>
      <w:color w:val="00000A"/>
    </w:rPr>
  </w:style>
  <w:style w:type="paragraph" w:styleId="Tekstprzypisudolnego">
    <w:name w:val="footnote text"/>
    <w:basedOn w:val="Normalny"/>
    <w:link w:val="TekstprzypisudolnegoZnak"/>
    <w:unhideWhenUsed/>
    <w:rsid w:val="0005183D"/>
    <w:pPr>
      <w:spacing w:after="0" w:line="240" w:lineRule="auto"/>
    </w:pPr>
    <w:rPr>
      <w:rFonts w:ascii="Times New Roman" w:hAnsi="Times New Roman" w:cs="Times New Roman"/>
      <w:color w:val="auto"/>
      <w:szCs w:val="24"/>
    </w:rPr>
  </w:style>
  <w:style w:type="character" w:customStyle="1" w:styleId="TekstprzypisudolnegoZnak1">
    <w:name w:val="Tekst przypisu dolnego Znak1"/>
    <w:basedOn w:val="Domylnaczcionkaakapitu"/>
    <w:uiPriority w:val="99"/>
    <w:semiHidden/>
    <w:rsid w:val="0005183D"/>
    <w:rPr>
      <w:color w:val="00000A"/>
      <w:sz w:val="20"/>
      <w:szCs w:val="20"/>
    </w:rPr>
  </w:style>
  <w:style w:type="character" w:styleId="Odwoanieprzypisudolnego">
    <w:name w:val="footnote reference"/>
    <w:basedOn w:val="Domylnaczcionkaakapitu"/>
    <w:semiHidden/>
    <w:unhideWhenUsed/>
    <w:rsid w:val="0005183D"/>
    <w:rPr>
      <w:vertAlign w:val="superscript"/>
    </w:rPr>
  </w:style>
  <w:style w:type="character" w:styleId="Hipercze">
    <w:name w:val="Hyperlink"/>
    <w:uiPriority w:val="99"/>
    <w:rsid w:val="00EC2653"/>
    <w:rPr>
      <w:color w:val="0000FF"/>
      <w:u w:val="single"/>
    </w:rPr>
  </w:style>
  <w:style w:type="character" w:customStyle="1" w:styleId="Nierozpoznanawzmianka1">
    <w:name w:val="Nierozpoznana wzmianka1"/>
    <w:basedOn w:val="Domylnaczcionkaakapitu"/>
    <w:uiPriority w:val="99"/>
    <w:semiHidden/>
    <w:unhideWhenUsed/>
    <w:rsid w:val="00384BA1"/>
    <w:rPr>
      <w:color w:val="605E5C"/>
      <w:shd w:val="clear" w:color="auto" w:fill="E1DFDD"/>
    </w:rPr>
  </w:style>
  <w:style w:type="paragraph" w:styleId="NormalnyWeb">
    <w:name w:val="Normal (Web)"/>
    <w:basedOn w:val="Normalny"/>
    <w:uiPriority w:val="99"/>
    <w:unhideWhenUsed/>
    <w:rsid w:val="001650A4"/>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1650A4"/>
    <w:rPr>
      <w:b/>
      <w:bCs/>
    </w:rPr>
  </w:style>
  <w:style w:type="paragraph" w:styleId="Nagwek">
    <w:name w:val="header"/>
    <w:basedOn w:val="Normalny"/>
    <w:link w:val="NagwekZnak"/>
    <w:uiPriority w:val="99"/>
    <w:unhideWhenUsed/>
    <w:rsid w:val="00D652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2A3"/>
    <w:rPr>
      <w:color w:val="00000A"/>
    </w:rPr>
  </w:style>
  <w:style w:type="paragraph" w:customStyle="1" w:styleId="Default">
    <w:name w:val="Default"/>
    <w:qFormat/>
    <w:rsid w:val="00AF23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komentarza">
    <w:name w:val="annotation text"/>
    <w:basedOn w:val="Normalny"/>
    <w:link w:val="TekstkomentarzaZnak"/>
    <w:unhideWhenUsed/>
    <w:qFormat/>
    <w:rsid w:val="00060EAB"/>
    <w:pPr>
      <w:spacing w:after="160" w:line="240" w:lineRule="auto"/>
    </w:pPr>
    <w:rPr>
      <w:rFonts w:ascii="Calibri" w:eastAsia="Calibri" w:hAnsi="Calibri" w:cs="Times New Roman"/>
      <w:color w:val="auto"/>
      <w:sz w:val="20"/>
      <w:szCs w:val="20"/>
      <w:lang w:val="x-none"/>
    </w:rPr>
  </w:style>
  <w:style w:type="character" w:customStyle="1" w:styleId="TekstkomentarzaZnak">
    <w:name w:val="Tekst komentarza Znak"/>
    <w:basedOn w:val="Domylnaczcionkaakapitu"/>
    <w:link w:val="Tekstkomentarza"/>
    <w:rsid w:val="00060EAB"/>
    <w:rPr>
      <w:rFonts w:ascii="Calibri" w:eastAsia="Calibri" w:hAnsi="Calibri" w:cs="Times New Roman"/>
      <w:sz w:val="20"/>
      <w:szCs w:val="20"/>
      <w:lang w:val="x-none"/>
    </w:rPr>
  </w:style>
  <w:style w:type="paragraph" w:styleId="Tekstprzypisukocowego">
    <w:name w:val="endnote text"/>
    <w:basedOn w:val="Normalny"/>
    <w:link w:val="TekstprzypisukocowegoZnak"/>
    <w:uiPriority w:val="99"/>
    <w:semiHidden/>
    <w:unhideWhenUsed/>
    <w:rsid w:val="00284B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4B13"/>
    <w:rPr>
      <w:color w:val="00000A"/>
      <w:sz w:val="20"/>
      <w:szCs w:val="20"/>
    </w:rPr>
  </w:style>
  <w:style w:type="character" w:styleId="Odwoanieprzypisukocowego">
    <w:name w:val="endnote reference"/>
    <w:basedOn w:val="Domylnaczcionkaakapitu"/>
    <w:uiPriority w:val="99"/>
    <w:semiHidden/>
    <w:unhideWhenUsed/>
    <w:rsid w:val="00284B13"/>
    <w:rPr>
      <w:vertAlign w:val="superscript"/>
    </w:rPr>
  </w:style>
  <w:style w:type="paragraph" w:styleId="Tekstdymka">
    <w:name w:val="Balloon Text"/>
    <w:basedOn w:val="Normalny"/>
    <w:link w:val="TekstdymkaZnak"/>
    <w:uiPriority w:val="99"/>
    <w:semiHidden/>
    <w:unhideWhenUsed/>
    <w:rsid w:val="009331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142"/>
    <w:rPr>
      <w:rFonts w:ascii="Segoe UI" w:hAnsi="Segoe UI" w:cs="Segoe UI"/>
      <w:color w:val="00000A"/>
      <w:sz w:val="18"/>
      <w:szCs w:val="18"/>
    </w:rPr>
  </w:style>
  <w:style w:type="paragraph" w:customStyle="1" w:styleId="Standardtext">
    <w:name w:val="Standardtext"/>
    <w:basedOn w:val="Normalny"/>
    <w:uiPriority w:val="99"/>
    <w:qFormat/>
    <w:rsid w:val="002960F2"/>
    <w:pPr>
      <w:spacing w:after="100" w:line="280" w:lineRule="atLeast"/>
      <w:jc w:val="both"/>
    </w:pPr>
    <w:rPr>
      <w:rFonts w:ascii="Arial" w:eastAsia="Times New Roman" w:hAnsi="Arial" w:cs="Times New Roman"/>
      <w:color w:val="auto"/>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7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park.kiel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sejmik.kielce.pl" TargetMode="External"/><Relationship Id="rId4" Type="http://schemas.openxmlformats.org/officeDocument/2006/relationships/settings" Target="settings.xml"/><Relationship Id="rId9" Type="http://schemas.openxmlformats.org/officeDocument/2006/relationships/hyperlink" Target="http://www.spinno.pl/inteligentne-specjalizacje/uszczegolowienie-inteligentnych-specjalizacji-wojewodztwa-swietokrzyskieg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3FE8F-3486-4D95-BE35-B63D027B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1</Pages>
  <Words>2063</Words>
  <Characters>12378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Kowalewska, Katarzyna</dc:creator>
  <cp:lastModifiedBy>Piras, Anna</cp:lastModifiedBy>
  <cp:revision>46</cp:revision>
  <cp:lastPrinted>2019-04-09T06:28:00Z</cp:lastPrinted>
  <dcterms:created xsi:type="dcterms:W3CDTF">2019-04-02T12:53:00Z</dcterms:created>
  <dcterms:modified xsi:type="dcterms:W3CDTF">2019-10-23T09:39:00Z</dcterms:modified>
</cp:coreProperties>
</file>